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8B41AB" w14:textId="77777777" w:rsidR="0083706C" w:rsidRPr="00646E8E" w:rsidRDefault="0083706C" w:rsidP="0083706C">
      <w:pPr>
        <w:spacing w:line="360" w:lineRule="auto"/>
        <w:jc w:val="both"/>
        <w:rPr>
          <w:rFonts w:ascii="Arial" w:eastAsia="Arial" w:hAnsi="Arial" w:cs="Arial"/>
          <w:b/>
          <w:color w:val="EE0000"/>
        </w:rPr>
      </w:pPr>
      <w:r w:rsidRPr="00646E8E">
        <w:rPr>
          <w:rFonts w:ascii="Arial" w:eastAsia="Arial" w:hAnsi="Arial" w:cs="Arial"/>
          <w:b/>
          <w:color w:val="EE0000"/>
        </w:rPr>
        <w:t>EXCELENTÍSSIMO DOUTOR JUIZ DA XXX VARA DO FORO CENTRAL DA COMARCA DA REGIÃO METROPOLITANA DE CURITIBA - PR</w:t>
      </w:r>
    </w:p>
    <w:p w14:paraId="423DBC6A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55720220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1EEBEE00" w14:textId="77777777" w:rsidR="00EA1A6A" w:rsidRPr="00B84C4F" w:rsidRDefault="00EA1A6A" w:rsidP="00EA1A6A">
      <w:pPr>
        <w:spacing w:line="360" w:lineRule="auto"/>
        <w:ind w:left="2268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B84C4F">
        <w:rPr>
          <w:rFonts w:ascii="Arial" w:eastAsia="Arial" w:hAnsi="Arial" w:cs="Arial"/>
          <w:color w:val="EE0000"/>
          <w:sz w:val="22"/>
          <w:szCs w:val="22"/>
        </w:rPr>
        <w:t>Importante: O presente modelo deverá ser adaptado para o caso concreto pelo(a) advogado(a) que o utilizar. A Comissão da Advocacia Dativa e a OAB/PR não se responsabilizam pela eventual utilização inadequada deste modelo. A responsabilidade é sempre do(a) advogado(a) signatário</w:t>
      </w:r>
      <w:r>
        <w:rPr>
          <w:rFonts w:ascii="Arial" w:eastAsia="Arial" w:hAnsi="Arial" w:cs="Arial"/>
          <w:color w:val="EE0000"/>
        </w:rPr>
        <w:t>(a)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 xml:space="preserve"> da peça processual, nos termos da Lei 8.906/1994</w:t>
      </w:r>
      <w:r>
        <w:rPr>
          <w:rFonts w:ascii="Arial" w:eastAsia="Arial" w:hAnsi="Arial" w:cs="Arial"/>
          <w:color w:val="EE0000"/>
        </w:rPr>
        <w:t xml:space="preserve"> e demais </w:t>
      </w:r>
      <w:proofErr w:type="spellStart"/>
      <w:r>
        <w:rPr>
          <w:rFonts w:ascii="Arial" w:eastAsia="Arial" w:hAnsi="Arial" w:cs="Arial"/>
          <w:color w:val="EE0000"/>
        </w:rPr>
        <w:t>legislaçação</w:t>
      </w:r>
      <w:proofErr w:type="spellEnd"/>
      <w:r>
        <w:rPr>
          <w:rFonts w:ascii="Arial" w:eastAsia="Arial" w:hAnsi="Arial" w:cs="Arial"/>
          <w:color w:val="EE0000"/>
        </w:rPr>
        <w:t xml:space="preserve"> correlata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>.</w:t>
      </w:r>
    </w:p>
    <w:p w14:paraId="1389EC83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2D431ABC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02655A2B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0540DC1F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24494318" w14:textId="77777777" w:rsidR="00606828" w:rsidRDefault="00606828">
      <w:pPr>
        <w:rPr>
          <w:rFonts w:ascii="Arial" w:eastAsia="Arial" w:hAnsi="Arial" w:cs="Arial"/>
          <w:sz w:val="26"/>
          <w:szCs w:val="26"/>
        </w:rPr>
      </w:pPr>
    </w:p>
    <w:p w14:paraId="299FB22C" w14:textId="07A3C43F" w:rsidR="00606828" w:rsidRDefault="00064CD5">
      <w:pPr>
        <w:spacing w:before="120" w:after="1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Autos nº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="000D374B" w:rsidRPr="000D374B">
        <w:rPr>
          <w:rFonts w:ascii="Arial" w:eastAsia="Arial" w:hAnsi="Arial" w:cs="Arial"/>
          <w:b/>
          <w:color w:val="EE0000"/>
          <w:sz w:val="26"/>
          <w:szCs w:val="26"/>
        </w:rPr>
        <w:t>xxxxxxx</w:t>
      </w:r>
      <w:proofErr w:type="spellEnd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6E8310FE" w14:textId="46E3AB6A" w:rsidR="00606828" w:rsidRPr="000D374B" w:rsidRDefault="00064CD5">
      <w:pPr>
        <w:tabs>
          <w:tab w:val="left" w:pos="5655"/>
        </w:tabs>
        <w:spacing w:before="120" w:after="120"/>
        <w:rPr>
          <w:rFonts w:ascii="Arial" w:eastAsia="Arial" w:hAnsi="Arial" w:cs="Arial"/>
          <w:b/>
          <w:color w:val="EE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Apelante: </w:t>
      </w:r>
      <w:proofErr w:type="spellStart"/>
      <w:r w:rsidR="000D374B" w:rsidRPr="000D374B">
        <w:rPr>
          <w:rFonts w:ascii="Arial" w:eastAsia="Arial" w:hAnsi="Arial" w:cs="Arial"/>
          <w:b/>
          <w:color w:val="EE0000"/>
          <w:sz w:val="26"/>
          <w:szCs w:val="26"/>
        </w:rPr>
        <w:t>xxxxxxxx</w:t>
      </w:r>
      <w:proofErr w:type="spellEnd"/>
      <w:r w:rsidR="000D374B"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352FE203" w14:textId="0920B59B" w:rsidR="00606828" w:rsidRDefault="00064CD5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6"/>
          <w:szCs w:val="26"/>
        </w:rPr>
        <w:t>Apelado</w:t>
      </w:r>
      <w:r w:rsidRPr="000D374B">
        <w:rPr>
          <w:rFonts w:ascii="Arial" w:eastAsia="Arial" w:hAnsi="Arial" w:cs="Arial"/>
          <w:color w:val="EE0000"/>
          <w:sz w:val="26"/>
          <w:szCs w:val="26"/>
        </w:rPr>
        <w:t xml:space="preserve">: </w:t>
      </w:r>
      <w:proofErr w:type="spellStart"/>
      <w:r w:rsidR="000D374B" w:rsidRPr="000D374B">
        <w:rPr>
          <w:rFonts w:ascii="Arial" w:eastAsia="Arial" w:hAnsi="Arial" w:cs="Arial"/>
          <w:b/>
          <w:color w:val="EE0000"/>
          <w:sz w:val="26"/>
          <w:szCs w:val="26"/>
        </w:rPr>
        <w:t>xxxxxxxxx</w:t>
      </w:r>
      <w:proofErr w:type="spellEnd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08FE6762" w14:textId="77777777" w:rsidR="00606828" w:rsidRDefault="00606828">
      <w:pPr>
        <w:rPr>
          <w:rFonts w:ascii="Arial" w:eastAsia="Arial" w:hAnsi="Arial" w:cs="Arial"/>
          <w:color w:val="2A2A2A"/>
          <w:sz w:val="20"/>
          <w:szCs w:val="20"/>
        </w:rPr>
      </w:pPr>
    </w:p>
    <w:p w14:paraId="22D0C95C" w14:textId="77777777" w:rsidR="00606828" w:rsidRDefault="00606828">
      <w:pPr>
        <w:rPr>
          <w:rFonts w:ascii="Arial" w:eastAsia="Arial" w:hAnsi="Arial" w:cs="Arial"/>
        </w:rPr>
      </w:pPr>
    </w:p>
    <w:p w14:paraId="3EC98F16" w14:textId="77777777" w:rsidR="00606828" w:rsidRDefault="00606828">
      <w:pPr>
        <w:rPr>
          <w:rFonts w:ascii="Arial" w:eastAsia="Arial" w:hAnsi="Arial" w:cs="Arial"/>
        </w:rPr>
      </w:pPr>
    </w:p>
    <w:p w14:paraId="55830F77" w14:textId="77777777" w:rsidR="00606828" w:rsidRDefault="00606828">
      <w:pPr>
        <w:rPr>
          <w:rFonts w:ascii="Arial" w:eastAsia="Arial" w:hAnsi="Arial" w:cs="Arial"/>
        </w:rPr>
      </w:pPr>
    </w:p>
    <w:p w14:paraId="1FF52538" w14:textId="77777777" w:rsidR="00606828" w:rsidRDefault="00606828">
      <w:pPr>
        <w:rPr>
          <w:rFonts w:ascii="Arial" w:eastAsia="Arial" w:hAnsi="Arial" w:cs="Arial"/>
        </w:rPr>
      </w:pPr>
    </w:p>
    <w:p w14:paraId="1AA198C8" w14:textId="77777777" w:rsidR="00606828" w:rsidRDefault="00606828">
      <w:pPr>
        <w:rPr>
          <w:rFonts w:ascii="Arial" w:eastAsia="Arial" w:hAnsi="Arial" w:cs="Arial"/>
        </w:rPr>
      </w:pPr>
    </w:p>
    <w:p w14:paraId="446EF66A" w14:textId="77777777" w:rsidR="00606828" w:rsidRDefault="00606828">
      <w:pPr>
        <w:rPr>
          <w:rFonts w:ascii="Arial" w:eastAsia="Arial" w:hAnsi="Arial" w:cs="Arial"/>
        </w:rPr>
      </w:pPr>
    </w:p>
    <w:p w14:paraId="6FF01E77" w14:textId="77777777" w:rsidR="00606828" w:rsidRDefault="00606828">
      <w:pPr>
        <w:rPr>
          <w:rFonts w:ascii="Arial" w:eastAsia="Arial" w:hAnsi="Arial" w:cs="Arial"/>
        </w:rPr>
      </w:pPr>
    </w:p>
    <w:p w14:paraId="69CDB2E4" w14:textId="77777777" w:rsidR="00606828" w:rsidRDefault="00606828">
      <w:pPr>
        <w:rPr>
          <w:rFonts w:ascii="Arial" w:eastAsia="Arial" w:hAnsi="Arial" w:cs="Arial"/>
        </w:rPr>
      </w:pPr>
    </w:p>
    <w:p w14:paraId="1354B1D1" w14:textId="77777777" w:rsidR="00606828" w:rsidRDefault="00606828">
      <w:pPr>
        <w:rPr>
          <w:rFonts w:ascii="Arial" w:eastAsia="Arial" w:hAnsi="Arial" w:cs="Arial"/>
        </w:rPr>
      </w:pPr>
    </w:p>
    <w:p w14:paraId="3336625D" w14:textId="0CFD8869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</w:rPr>
        <w:tab/>
      </w:r>
      <w:r w:rsidR="000D374B" w:rsidRPr="000D374B">
        <w:rPr>
          <w:rFonts w:ascii="Arial" w:eastAsia="Arial" w:hAnsi="Arial" w:cs="Arial"/>
          <w:b/>
          <w:color w:val="EE0000"/>
          <w:sz w:val="26"/>
          <w:szCs w:val="26"/>
        </w:rPr>
        <w:t>Nome e qualificação da parte</w:t>
      </w:r>
      <w:r>
        <w:rPr>
          <w:rFonts w:ascii="Arial" w:eastAsia="Arial" w:hAnsi="Arial" w:cs="Arial"/>
          <w:sz w:val="26"/>
          <w:szCs w:val="26"/>
        </w:rPr>
        <w:t xml:space="preserve">, vem respeitosamente à presença de Vossa Excelência, por meio de seu defensor dativo, com fulcro nos </w:t>
      </w:r>
      <w:proofErr w:type="spellStart"/>
      <w:r w:rsidR="004C64CA">
        <w:rPr>
          <w:rFonts w:ascii="Arial" w:eastAsia="Arial" w:hAnsi="Arial" w:cs="Arial"/>
          <w:sz w:val="26"/>
          <w:szCs w:val="26"/>
        </w:rPr>
        <w:t>arts</w:t>
      </w:r>
      <w:proofErr w:type="spellEnd"/>
      <w:r w:rsidR="004C64CA">
        <w:rPr>
          <w:rFonts w:ascii="Arial" w:eastAsia="Arial" w:hAnsi="Arial" w:cs="Arial"/>
          <w:sz w:val="26"/>
          <w:szCs w:val="26"/>
        </w:rPr>
        <w:t xml:space="preserve">. </w:t>
      </w:r>
      <w:r>
        <w:rPr>
          <w:rFonts w:ascii="Arial" w:eastAsia="Arial" w:hAnsi="Arial" w:cs="Arial"/>
          <w:sz w:val="26"/>
          <w:szCs w:val="26"/>
        </w:rPr>
        <w:t>1.009, 1.010 e seguintes do Cód</w:t>
      </w:r>
      <w:r w:rsidR="004C64CA">
        <w:rPr>
          <w:rFonts w:ascii="Arial" w:eastAsia="Arial" w:hAnsi="Arial" w:cs="Arial"/>
          <w:sz w:val="26"/>
          <w:szCs w:val="26"/>
        </w:rPr>
        <w:t>igo de Processo Civil, interpor</w:t>
      </w:r>
    </w:p>
    <w:p w14:paraId="48684F8B" w14:textId="77777777" w:rsidR="00606828" w:rsidRDefault="00606828">
      <w:pPr>
        <w:spacing w:line="360" w:lineRule="auto"/>
        <w:jc w:val="center"/>
        <w:rPr>
          <w:rFonts w:ascii="Arial" w:eastAsia="Arial" w:hAnsi="Arial" w:cs="Arial"/>
          <w:b/>
        </w:rPr>
      </w:pPr>
    </w:p>
    <w:p w14:paraId="64C06574" w14:textId="77777777" w:rsidR="00606828" w:rsidRDefault="00064CD5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APELAÇÃO</w:t>
      </w:r>
    </w:p>
    <w:p w14:paraId="44010ACD" w14:textId="77777777" w:rsidR="00606828" w:rsidRDefault="00606828">
      <w:pPr>
        <w:spacing w:line="360" w:lineRule="auto"/>
        <w:ind w:firstLine="1134"/>
        <w:jc w:val="center"/>
        <w:rPr>
          <w:rFonts w:ascii="Arial" w:eastAsia="Arial" w:hAnsi="Arial" w:cs="Arial"/>
          <w:b/>
        </w:rPr>
      </w:pPr>
    </w:p>
    <w:p w14:paraId="77083761" w14:textId="3355BC62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e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m face da respeitável sentença prolatada pelo Meritíssimo Juízo da Vara </w:t>
      </w:r>
      <w:r w:rsidR="000E264E" w:rsidRPr="000E264E">
        <w:rPr>
          <w:rFonts w:ascii="Arial" w:eastAsia="Arial" w:hAnsi="Arial" w:cs="Arial"/>
          <w:color w:val="EE0000"/>
          <w:sz w:val="26"/>
          <w:szCs w:val="26"/>
        </w:rPr>
        <w:t>XXXXX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/PR, autos em epígrafe, em que </w:t>
      </w:r>
      <w:r>
        <w:rPr>
          <w:rFonts w:ascii="Arial" w:eastAsia="Arial" w:hAnsi="Arial" w:cs="Arial"/>
          <w:sz w:val="26"/>
          <w:szCs w:val="26"/>
        </w:rPr>
        <w:t>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Apelante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responde</w:t>
      </w:r>
      <w:r w:rsidR="004C64CA">
        <w:rPr>
          <w:rFonts w:ascii="Arial" w:eastAsia="Arial" w:hAnsi="Arial" w:cs="Arial"/>
          <w:color w:val="000000"/>
          <w:sz w:val="26"/>
          <w:szCs w:val="26"/>
        </w:rPr>
        <w:t xml:space="preserve"> pela prática, em tese, de ato infracional.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</w:p>
    <w:p w14:paraId="11418D6F" w14:textId="38022290" w:rsidR="00606828" w:rsidRDefault="004C64CA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  <w:highlight w:val="white"/>
        </w:rPr>
      </w:pPr>
      <w:r>
        <w:rPr>
          <w:rFonts w:ascii="Arial" w:eastAsia="Arial" w:hAnsi="Arial" w:cs="Arial"/>
          <w:sz w:val="26"/>
          <w:szCs w:val="26"/>
          <w:highlight w:val="white"/>
        </w:rPr>
        <w:t>R. r</w:t>
      </w:r>
      <w:r w:rsidR="00064CD5">
        <w:rPr>
          <w:rFonts w:ascii="Arial" w:eastAsia="Arial" w:hAnsi="Arial" w:cs="Arial"/>
          <w:sz w:val="26"/>
          <w:szCs w:val="26"/>
          <w:highlight w:val="white"/>
        </w:rPr>
        <w:t>equer</w:t>
      </w:r>
      <w:r w:rsidR="00064CD5"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a V. Exa. que profira despacho mantendo ou reformando a </w:t>
      </w:r>
      <w:r w:rsidR="00064CD5">
        <w:rPr>
          <w:rFonts w:ascii="Arial" w:eastAsia="Arial" w:hAnsi="Arial" w:cs="Arial"/>
          <w:color w:val="000000"/>
          <w:sz w:val="26"/>
          <w:szCs w:val="26"/>
          <w:highlight w:val="white"/>
        </w:rPr>
        <w:lastRenderedPageBreak/>
        <w:t xml:space="preserve">decisão e, em caso de manutenção da sentença, determine a intimação da representante </w:t>
      </w:r>
      <w:r w:rsidR="006E4561">
        <w:rPr>
          <w:rFonts w:ascii="Arial" w:eastAsia="Arial" w:hAnsi="Arial" w:cs="Arial"/>
          <w:color w:val="000000"/>
          <w:sz w:val="26"/>
          <w:szCs w:val="26"/>
          <w:highlight w:val="white"/>
        </w:rPr>
        <w:t>da parte contrária</w:t>
      </w:r>
      <w:r w:rsidR="00064CD5">
        <w:rPr>
          <w:rFonts w:ascii="Arial" w:eastAsia="Arial" w:hAnsi="Arial" w:cs="Arial"/>
          <w:color w:val="000000"/>
          <w:sz w:val="26"/>
          <w:szCs w:val="26"/>
          <w:highlight w:val="white"/>
        </w:rPr>
        <w:t xml:space="preserve"> para, querendo, apresentar contrarrazões. Requer ainda seja o presente recurso devidamente processado, com a consequente remessa ao Egrégio Tribunal de Justiça do Estado do Paraná, juntamente com as razões de apelação que seguem abaixo. </w:t>
      </w:r>
    </w:p>
    <w:p w14:paraId="1ADBA548" w14:textId="6A69C77B" w:rsidR="00606828" w:rsidRDefault="006E4561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Requer seja considerada a </w:t>
      </w:r>
      <w:r w:rsidR="00654B83">
        <w:rPr>
          <w:rFonts w:ascii="Arial" w:eastAsia="Arial" w:hAnsi="Arial" w:cs="Arial"/>
          <w:color w:val="000000"/>
          <w:sz w:val="26"/>
          <w:szCs w:val="26"/>
        </w:rPr>
        <w:t>gratuidade de Justiça concedida à parte e a consequente desnecessidade de preparo</w:t>
      </w:r>
      <w:r w:rsidR="00064CD5">
        <w:rPr>
          <w:rFonts w:ascii="Arial" w:eastAsia="Arial" w:hAnsi="Arial" w:cs="Arial"/>
          <w:color w:val="000000"/>
          <w:sz w:val="26"/>
          <w:szCs w:val="26"/>
        </w:rPr>
        <w:t>.</w:t>
      </w:r>
    </w:p>
    <w:p w14:paraId="77607958" w14:textId="77777777" w:rsidR="00606828" w:rsidRDefault="00606828">
      <w:pPr>
        <w:spacing w:line="360" w:lineRule="auto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4B1C1C08" w14:textId="3C7EBB4E" w:rsidR="00606828" w:rsidRDefault="00064CD5">
      <w:pPr>
        <w:spacing w:after="200"/>
        <w:ind w:left="1134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Termos em que, requer deferimento. </w:t>
      </w:r>
    </w:p>
    <w:p w14:paraId="106C2A83" w14:textId="77777777" w:rsidR="00606828" w:rsidRDefault="00606828">
      <w:pPr>
        <w:spacing w:after="200"/>
        <w:ind w:left="1134"/>
        <w:rPr>
          <w:rFonts w:ascii="Arial" w:eastAsia="Arial" w:hAnsi="Arial" w:cs="Arial"/>
          <w:sz w:val="26"/>
          <w:szCs w:val="26"/>
        </w:rPr>
      </w:pPr>
    </w:p>
    <w:p w14:paraId="20A7A1A2" w14:textId="2EEC4965" w:rsidR="00606828" w:rsidRPr="00654B83" w:rsidRDefault="00654B83">
      <w:pPr>
        <w:spacing w:after="200"/>
        <w:ind w:left="1134"/>
        <w:rPr>
          <w:rFonts w:ascii="Arial" w:eastAsia="Arial" w:hAnsi="Arial" w:cs="Arial"/>
          <w:color w:val="EE0000"/>
          <w:sz w:val="26"/>
          <w:szCs w:val="26"/>
        </w:rPr>
      </w:pPr>
      <w:r w:rsidRPr="00654B83">
        <w:rPr>
          <w:rFonts w:ascii="Arial" w:eastAsia="Arial" w:hAnsi="Arial" w:cs="Arial"/>
          <w:color w:val="EE0000"/>
          <w:sz w:val="26"/>
          <w:szCs w:val="26"/>
        </w:rPr>
        <w:t>Cidade</w:t>
      </w:r>
      <w:r w:rsidR="00064CD5" w:rsidRPr="00654B83">
        <w:rPr>
          <w:rFonts w:ascii="Arial" w:eastAsia="Arial" w:hAnsi="Arial" w:cs="Arial"/>
          <w:color w:val="EE0000"/>
          <w:sz w:val="26"/>
          <w:szCs w:val="26"/>
        </w:rPr>
        <w:t xml:space="preserve">, </w:t>
      </w:r>
      <w:r w:rsidRPr="00654B83">
        <w:rPr>
          <w:rFonts w:ascii="Arial" w:eastAsia="Arial" w:hAnsi="Arial" w:cs="Arial"/>
          <w:color w:val="EE0000"/>
          <w:sz w:val="26"/>
          <w:szCs w:val="26"/>
        </w:rPr>
        <w:t>data</w:t>
      </w:r>
      <w:r w:rsidR="00064CD5" w:rsidRPr="00654B83">
        <w:rPr>
          <w:rFonts w:ascii="Arial" w:eastAsia="Arial" w:hAnsi="Arial" w:cs="Arial"/>
          <w:color w:val="EE0000"/>
          <w:sz w:val="26"/>
          <w:szCs w:val="26"/>
        </w:rPr>
        <w:t xml:space="preserve">. </w:t>
      </w:r>
    </w:p>
    <w:p w14:paraId="59F0869D" w14:textId="77777777" w:rsidR="00606828" w:rsidRDefault="00064CD5">
      <w:pPr>
        <w:spacing w:line="360" w:lineRule="auto"/>
        <w:ind w:firstLine="226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br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  <w:r>
        <w:rPr>
          <w:rFonts w:ascii="Arial" w:eastAsia="Arial" w:hAnsi="Arial" w:cs="Arial"/>
          <w:sz w:val="26"/>
          <w:szCs w:val="26"/>
        </w:rPr>
        <w:tab/>
      </w:r>
    </w:p>
    <w:p w14:paraId="602519AE" w14:textId="47159E41" w:rsidR="00606828" w:rsidRPr="00654B83" w:rsidRDefault="00064CD5">
      <w:pPr>
        <w:tabs>
          <w:tab w:val="left" w:pos="2880"/>
        </w:tabs>
        <w:ind w:firstLine="1134"/>
        <w:jc w:val="both"/>
        <w:rPr>
          <w:rFonts w:ascii="Arial" w:eastAsia="Arial" w:hAnsi="Arial" w:cs="Arial"/>
          <w:b/>
          <w:color w:val="EE0000"/>
          <w:sz w:val="26"/>
          <w:szCs w:val="26"/>
        </w:rPr>
      </w:pPr>
      <w:r w:rsidRPr="00654B83">
        <w:rPr>
          <w:rFonts w:ascii="Arial" w:eastAsia="Arial" w:hAnsi="Arial" w:cs="Arial"/>
          <w:b/>
          <w:color w:val="EE0000"/>
          <w:sz w:val="26"/>
          <w:szCs w:val="26"/>
        </w:rPr>
        <w:t xml:space="preserve">Dr. </w:t>
      </w:r>
      <w:r w:rsidR="00654B83" w:rsidRPr="00654B83">
        <w:rPr>
          <w:rFonts w:ascii="Arial" w:eastAsia="Arial" w:hAnsi="Arial" w:cs="Arial"/>
          <w:b/>
          <w:color w:val="EE0000"/>
          <w:sz w:val="26"/>
          <w:szCs w:val="26"/>
        </w:rPr>
        <w:t>Nome do</w:t>
      </w:r>
      <w:r w:rsidR="008D06D9">
        <w:rPr>
          <w:rFonts w:ascii="Arial" w:eastAsia="Arial" w:hAnsi="Arial" w:cs="Arial"/>
          <w:b/>
          <w:color w:val="EE0000"/>
          <w:sz w:val="26"/>
          <w:szCs w:val="26"/>
        </w:rPr>
        <w:t>(a)</w:t>
      </w:r>
      <w:r w:rsidR="00654B83" w:rsidRPr="00654B83">
        <w:rPr>
          <w:rFonts w:ascii="Arial" w:eastAsia="Arial" w:hAnsi="Arial" w:cs="Arial"/>
          <w:b/>
          <w:color w:val="EE0000"/>
          <w:sz w:val="26"/>
          <w:szCs w:val="26"/>
        </w:rPr>
        <w:t xml:space="preserve"> advogado</w:t>
      </w:r>
      <w:r w:rsidR="008D06D9">
        <w:rPr>
          <w:rFonts w:ascii="Arial" w:eastAsia="Arial" w:hAnsi="Arial" w:cs="Arial"/>
          <w:b/>
          <w:color w:val="EE0000"/>
          <w:sz w:val="26"/>
          <w:szCs w:val="26"/>
        </w:rPr>
        <w:t>(a)</w:t>
      </w:r>
    </w:p>
    <w:p w14:paraId="0A57056D" w14:textId="22B35704" w:rsidR="00606828" w:rsidRPr="00654B83" w:rsidRDefault="00064CD5">
      <w:pPr>
        <w:spacing w:line="360" w:lineRule="auto"/>
        <w:ind w:firstLine="1134"/>
        <w:jc w:val="both"/>
        <w:rPr>
          <w:rFonts w:ascii="Arial" w:eastAsia="Arial" w:hAnsi="Arial" w:cs="Arial"/>
          <w:b/>
          <w:color w:val="EE0000"/>
          <w:sz w:val="26"/>
          <w:szCs w:val="26"/>
        </w:rPr>
      </w:pPr>
      <w:r w:rsidRPr="00654B83">
        <w:rPr>
          <w:rFonts w:ascii="Arial" w:eastAsia="Arial" w:hAnsi="Arial" w:cs="Arial"/>
          <w:b/>
          <w:color w:val="EE0000"/>
          <w:sz w:val="26"/>
          <w:szCs w:val="26"/>
        </w:rPr>
        <w:t xml:space="preserve">OAB/PR n° </w:t>
      </w:r>
      <w:proofErr w:type="spellStart"/>
      <w:r w:rsidR="00654B83" w:rsidRPr="00654B83">
        <w:rPr>
          <w:rFonts w:ascii="Arial" w:eastAsia="Arial" w:hAnsi="Arial" w:cs="Arial"/>
          <w:b/>
          <w:color w:val="EE0000"/>
          <w:sz w:val="26"/>
          <w:szCs w:val="26"/>
        </w:rPr>
        <w:t>xxxxx</w:t>
      </w:r>
      <w:proofErr w:type="spellEnd"/>
    </w:p>
    <w:p w14:paraId="4777D893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BBC5F29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49B86FA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D9611EB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13A29D4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F639277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9F6C103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6A576B93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6C6DE4A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64A8857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45D21B5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3E30E1F" w14:textId="77777777" w:rsidR="00606828" w:rsidRDefault="00606828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AB8A034" w14:textId="77777777" w:rsidR="00654B83" w:rsidRDefault="00654B83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ED9006F" w14:textId="77777777" w:rsidR="00654B83" w:rsidRDefault="00654B83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EEBF2F6" w14:textId="77777777" w:rsidR="00654B83" w:rsidRDefault="00654B83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3A6A685" w14:textId="77777777" w:rsidR="00654B83" w:rsidRDefault="00654B83">
      <w:pPr>
        <w:spacing w:line="360" w:lineRule="auto"/>
        <w:ind w:left="336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516B42DC" w14:textId="77777777" w:rsidR="00606828" w:rsidRDefault="00064CD5">
      <w:pPr>
        <w:spacing w:after="200"/>
        <w:jc w:val="center"/>
        <w:rPr>
          <w:rFonts w:ascii="Arial" w:eastAsia="Arial" w:hAnsi="Arial" w:cs="Arial"/>
          <w:b/>
          <w:color w:val="000000"/>
          <w:sz w:val="30"/>
          <w:szCs w:val="30"/>
          <w:u w:val="single"/>
        </w:rPr>
      </w:pPr>
      <w:r>
        <w:rPr>
          <w:rFonts w:ascii="Arial" w:eastAsia="Arial" w:hAnsi="Arial" w:cs="Arial"/>
          <w:b/>
          <w:color w:val="000000"/>
          <w:sz w:val="30"/>
          <w:szCs w:val="30"/>
          <w:u w:val="single"/>
        </w:rPr>
        <w:lastRenderedPageBreak/>
        <w:t>RAZÕES DO RECURSO DE APELAÇÃO</w:t>
      </w:r>
    </w:p>
    <w:p w14:paraId="1AF0C7B8" w14:textId="77777777" w:rsidR="00606828" w:rsidRDefault="00606828">
      <w:pPr>
        <w:spacing w:line="36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222A907F" w14:textId="77777777" w:rsidR="00606828" w:rsidRDefault="00606828">
      <w:pPr>
        <w:spacing w:line="36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215F7C4B" w14:textId="186C5F04" w:rsidR="00CD2104" w:rsidRPr="00B84C4F" w:rsidRDefault="00CD2104" w:rsidP="00CD2104">
      <w:pPr>
        <w:spacing w:line="360" w:lineRule="auto"/>
        <w:ind w:left="2268"/>
        <w:jc w:val="both"/>
        <w:rPr>
          <w:rFonts w:ascii="Arial" w:eastAsia="Arial" w:hAnsi="Arial" w:cs="Arial"/>
          <w:color w:val="EE0000"/>
          <w:sz w:val="22"/>
          <w:szCs w:val="22"/>
        </w:rPr>
      </w:pPr>
      <w:r w:rsidRPr="00B84C4F">
        <w:rPr>
          <w:rFonts w:ascii="Arial" w:eastAsia="Arial" w:hAnsi="Arial" w:cs="Arial"/>
          <w:color w:val="EE0000"/>
          <w:sz w:val="22"/>
          <w:szCs w:val="22"/>
        </w:rPr>
        <w:t>Importante: O presente modelo deverá ser adaptado para o caso concreto pelo(a) advogado(a) que o utilizar. A Comissão da Advocacia Dativa e a OAB/PR não se responsabilizam pela eventual utilização inadequada deste modelo. A responsabilidade é sempre do(a) advogado(a) signatário</w:t>
      </w:r>
      <w:r>
        <w:rPr>
          <w:rFonts w:ascii="Arial" w:eastAsia="Arial" w:hAnsi="Arial" w:cs="Arial"/>
          <w:color w:val="EE0000"/>
        </w:rPr>
        <w:t>(a)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 xml:space="preserve"> da peça processual, nos termos da Lei 8.906/1994</w:t>
      </w:r>
      <w:r>
        <w:rPr>
          <w:rFonts w:ascii="Arial" w:eastAsia="Arial" w:hAnsi="Arial" w:cs="Arial"/>
          <w:color w:val="EE0000"/>
        </w:rPr>
        <w:t xml:space="preserve"> e demais </w:t>
      </w:r>
      <w:r>
        <w:rPr>
          <w:rFonts w:ascii="Arial" w:eastAsia="Arial" w:hAnsi="Arial" w:cs="Arial"/>
          <w:color w:val="EE0000"/>
        </w:rPr>
        <w:t>legislação</w:t>
      </w:r>
      <w:r>
        <w:rPr>
          <w:rFonts w:ascii="Arial" w:eastAsia="Arial" w:hAnsi="Arial" w:cs="Arial"/>
          <w:color w:val="EE0000"/>
        </w:rPr>
        <w:t xml:space="preserve"> correlata</w:t>
      </w:r>
      <w:r w:rsidRPr="00B84C4F">
        <w:rPr>
          <w:rFonts w:ascii="Arial" w:eastAsia="Arial" w:hAnsi="Arial" w:cs="Arial"/>
          <w:color w:val="EE0000"/>
          <w:sz w:val="22"/>
          <w:szCs w:val="22"/>
        </w:rPr>
        <w:t>.</w:t>
      </w:r>
    </w:p>
    <w:p w14:paraId="747AAD83" w14:textId="77777777" w:rsidR="00CD2104" w:rsidRDefault="00CD2104">
      <w:pPr>
        <w:spacing w:line="36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55F629E2" w14:textId="77777777" w:rsidR="00606828" w:rsidRDefault="00606828">
      <w:pPr>
        <w:spacing w:line="36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40161660" w14:textId="77777777" w:rsidR="00654B83" w:rsidRDefault="00654B83" w:rsidP="00654B83">
      <w:pPr>
        <w:spacing w:before="120" w:after="1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Autos nº</w:t>
      </w:r>
      <w:r>
        <w:rPr>
          <w:rFonts w:ascii="Arial" w:eastAsia="Arial" w:hAnsi="Arial" w:cs="Arial"/>
          <w:b/>
          <w:sz w:val="26"/>
          <w:szCs w:val="26"/>
        </w:rPr>
        <w:t xml:space="preserve"> </w:t>
      </w:r>
      <w:proofErr w:type="spellStart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xxxxxxx</w:t>
      </w:r>
      <w:proofErr w:type="spellEnd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2A65479A" w14:textId="77777777" w:rsidR="00654B83" w:rsidRPr="000D374B" w:rsidRDefault="00654B83" w:rsidP="00654B83">
      <w:pPr>
        <w:tabs>
          <w:tab w:val="left" w:pos="5655"/>
        </w:tabs>
        <w:spacing w:before="120" w:after="120"/>
        <w:rPr>
          <w:rFonts w:ascii="Arial" w:eastAsia="Arial" w:hAnsi="Arial" w:cs="Arial"/>
          <w:b/>
          <w:color w:val="EE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Apelante: </w:t>
      </w:r>
      <w:proofErr w:type="spellStart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xxxxxxxx</w:t>
      </w:r>
      <w:proofErr w:type="spellEnd"/>
      <w:r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0A78B9E9" w14:textId="77777777" w:rsidR="00654B83" w:rsidRDefault="00654B83" w:rsidP="00654B83">
      <w:pPr>
        <w:spacing w:before="120"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6"/>
          <w:szCs w:val="26"/>
        </w:rPr>
        <w:t>Apelado</w:t>
      </w:r>
      <w:r w:rsidRPr="000D374B">
        <w:rPr>
          <w:rFonts w:ascii="Arial" w:eastAsia="Arial" w:hAnsi="Arial" w:cs="Arial"/>
          <w:color w:val="EE0000"/>
          <w:sz w:val="26"/>
          <w:szCs w:val="26"/>
        </w:rPr>
        <w:t xml:space="preserve">: </w:t>
      </w:r>
      <w:proofErr w:type="spellStart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xxxxxxxxx</w:t>
      </w:r>
      <w:proofErr w:type="spellEnd"/>
      <w:r w:rsidRPr="000D374B">
        <w:rPr>
          <w:rFonts w:ascii="Arial" w:eastAsia="Arial" w:hAnsi="Arial" w:cs="Arial"/>
          <w:b/>
          <w:color w:val="EE0000"/>
          <w:sz w:val="26"/>
          <w:szCs w:val="26"/>
        </w:rPr>
        <w:t>.</w:t>
      </w:r>
    </w:p>
    <w:p w14:paraId="25C3978E" w14:textId="77777777" w:rsidR="00606828" w:rsidRDefault="00606828">
      <w:pPr>
        <w:spacing w:after="200"/>
        <w:rPr>
          <w:rFonts w:ascii="Arial" w:eastAsia="Arial" w:hAnsi="Arial" w:cs="Arial"/>
          <w:color w:val="000000"/>
          <w:sz w:val="26"/>
          <w:szCs w:val="26"/>
        </w:rPr>
      </w:pPr>
    </w:p>
    <w:p w14:paraId="5B99F8FA" w14:textId="77777777" w:rsidR="00606828" w:rsidRDefault="00606828">
      <w:pPr>
        <w:spacing w:after="200"/>
        <w:rPr>
          <w:rFonts w:ascii="Arial" w:eastAsia="Arial" w:hAnsi="Arial" w:cs="Arial"/>
          <w:color w:val="000000"/>
          <w:sz w:val="26"/>
          <w:szCs w:val="26"/>
        </w:rPr>
      </w:pPr>
    </w:p>
    <w:p w14:paraId="3CF17938" w14:textId="77777777" w:rsidR="00606828" w:rsidRDefault="00606828">
      <w:pPr>
        <w:spacing w:after="20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16C4307D" w14:textId="77777777" w:rsidR="00606828" w:rsidRDefault="00606828">
      <w:pPr>
        <w:spacing w:after="20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F84E866" w14:textId="77777777" w:rsidR="00606828" w:rsidRDefault="00606828">
      <w:pPr>
        <w:spacing w:after="20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28D48BB7" w14:textId="77777777" w:rsidR="00606828" w:rsidRDefault="00064CD5">
      <w:pPr>
        <w:spacing w:line="36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EGRÉGIO TRIBUNAL DE JUSTIÇA DO ESTADO DO PARANÁ,</w:t>
      </w:r>
    </w:p>
    <w:p w14:paraId="7D00AC4A" w14:textId="77777777" w:rsidR="00606828" w:rsidRDefault="00064CD5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COLENDA TURMA,</w:t>
      </w:r>
    </w:p>
    <w:p w14:paraId="1DDE97A8" w14:textId="77777777" w:rsidR="00606828" w:rsidRDefault="00064CD5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EXCELENTÍSSIMO(A) DESEMBARGADOR(A) RELATOR(A),</w:t>
      </w:r>
    </w:p>
    <w:p w14:paraId="7F6CDCC6" w14:textId="77777777" w:rsidR="00606828" w:rsidRDefault="00606828">
      <w:pPr>
        <w:spacing w:line="36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0E5E827B" w14:textId="77777777" w:rsidR="00606828" w:rsidRDefault="00064CD5">
      <w:pPr>
        <w:spacing w:line="36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APELAÇÃO</w:t>
      </w:r>
    </w:p>
    <w:p w14:paraId="5AC0678C" w14:textId="34282710" w:rsidR="00606828" w:rsidRDefault="00064CD5">
      <w:pPr>
        <w:spacing w:line="36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(</w:t>
      </w:r>
      <w:r w:rsidR="00654B83">
        <w:rPr>
          <w:rFonts w:ascii="Arial" w:eastAsia="Arial" w:hAnsi="Arial" w:cs="Arial"/>
          <w:color w:val="000000"/>
          <w:sz w:val="26"/>
          <w:szCs w:val="26"/>
        </w:rPr>
        <w:t>artigo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1.009 </w:t>
      </w:r>
      <w:r w:rsidR="00654B83">
        <w:rPr>
          <w:rFonts w:ascii="Arial" w:eastAsia="Arial" w:hAnsi="Arial" w:cs="Arial"/>
          <w:color w:val="000000"/>
          <w:sz w:val="26"/>
          <w:szCs w:val="26"/>
        </w:rPr>
        <w:t xml:space="preserve">e seguintes </w:t>
      </w:r>
      <w:r>
        <w:rPr>
          <w:rFonts w:ascii="Arial" w:eastAsia="Arial" w:hAnsi="Arial" w:cs="Arial"/>
          <w:color w:val="000000"/>
          <w:sz w:val="26"/>
          <w:szCs w:val="26"/>
        </w:rPr>
        <w:t>do CPC)</w:t>
      </w:r>
    </w:p>
    <w:p w14:paraId="22514EE9" w14:textId="77777777" w:rsidR="00606828" w:rsidRDefault="00606828">
      <w:pPr>
        <w:spacing w:after="200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244D0D73" w14:textId="77777777" w:rsidR="00606828" w:rsidRDefault="00606828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  <w:u w:val="single"/>
        </w:rPr>
      </w:pPr>
    </w:p>
    <w:p w14:paraId="3B09AF39" w14:textId="77777777" w:rsidR="00606828" w:rsidRDefault="00606828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  <w:u w:val="single"/>
        </w:rPr>
      </w:pPr>
    </w:p>
    <w:p w14:paraId="7D93EB41" w14:textId="2A01D510" w:rsidR="00606828" w:rsidRDefault="00064CD5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I – TEMPESTIVIDADE E DEMAIS REQUISITOS DE ADMISSIBILIDADE – INTERESSE RECURSAL.</w:t>
      </w:r>
    </w:p>
    <w:p w14:paraId="2EB51CBE" w14:textId="77777777" w:rsidR="00606828" w:rsidRDefault="00606828">
      <w:pPr>
        <w:spacing w:after="20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751C6FE0" w14:textId="02772745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lastRenderedPageBreak/>
        <w:t>A leitura da intimação eletrônica da r. sentença foi</w:t>
      </w:r>
      <w:r w:rsidR="00FA0236">
        <w:rPr>
          <w:rFonts w:ascii="Arial" w:eastAsia="Arial" w:hAnsi="Arial" w:cs="Arial"/>
          <w:sz w:val="26"/>
          <w:szCs w:val="26"/>
        </w:rPr>
        <w:t xml:space="preserve"> certificada no </w:t>
      </w:r>
      <w:r w:rsidR="00F112FF">
        <w:rPr>
          <w:rFonts w:ascii="Arial" w:eastAsia="Arial" w:hAnsi="Arial" w:cs="Arial"/>
          <w:sz w:val="26"/>
          <w:szCs w:val="26"/>
        </w:rPr>
        <w:t>processo virtual</w:t>
      </w:r>
      <w:r w:rsidR="00FA0236">
        <w:rPr>
          <w:rFonts w:ascii="Arial" w:eastAsia="Arial" w:hAnsi="Arial" w:cs="Arial"/>
          <w:sz w:val="26"/>
          <w:szCs w:val="26"/>
        </w:rPr>
        <w:t xml:space="preserve"> em </w:t>
      </w:r>
      <w:proofErr w:type="spellStart"/>
      <w:r w:rsidR="002C78D4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 w:rsidR="002C78D4">
        <w:rPr>
          <w:rFonts w:ascii="Arial" w:eastAsia="Arial" w:hAnsi="Arial" w:cs="Arial"/>
          <w:color w:val="EE0000"/>
          <w:sz w:val="26"/>
          <w:szCs w:val="26"/>
        </w:rPr>
        <w:t>/</w:t>
      </w:r>
      <w:proofErr w:type="spellStart"/>
      <w:r w:rsidR="002C78D4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 w:rsidR="002C78D4">
        <w:rPr>
          <w:rFonts w:ascii="Arial" w:eastAsia="Arial" w:hAnsi="Arial" w:cs="Arial"/>
          <w:color w:val="EE0000"/>
          <w:sz w:val="26"/>
          <w:szCs w:val="26"/>
        </w:rPr>
        <w:t>/</w:t>
      </w:r>
      <w:proofErr w:type="spellStart"/>
      <w:r w:rsidR="002C78D4">
        <w:rPr>
          <w:rFonts w:ascii="Arial" w:eastAsia="Arial" w:hAnsi="Arial" w:cs="Arial"/>
          <w:color w:val="EE0000"/>
          <w:sz w:val="26"/>
          <w:szCs w:val="26"/>
        </w:rPr>
        <w:t>xxxx</w:t>
      </w:r>
      <w:proofErr w:type="spellEnd"/>
      <w:r>
        <w:rPr>
          <w:rFonts w:ascii="Arial" w:eastAsia="Arial" w:hAnsi="Arial" w:cs="Arial"/>
          <w:sz w:val="26"/>
          <w:szCs w:val="26"/>
        </w:rPr>
        <w:t>, co</w:t>
      </w:r>
      <w:r w:rsidR="00FA0236">
        <w:rPr>
          <w:rFonts w:ascii="Arial" w:eastAsia="Arial" w:hAnsi="Arial" w:cs="Arial"/>
          <w:sz w:val="26"/>
          <w:szCs w:val="26"/>
        </w:rPr>
        <w:t xml:space="preserve">mo comprova o movimento de nº </w:t>
      </w:r>
      <w:proofErr w:type="spellStart"/>
      <w:r w:rsidR="00F112FF" w:rsidRPr="00F112FF">
        <w:rPr>
          <w:rFonts w:ascii="Arial" w:eastAsia="Arial" w:hAnsi="Arial" w:cs="Arial"/>
          <w:color w:val="EE0000"/>
          <w:sz w:val="26"/>
          <w:szCs w:val="26"/>
        </w:rPr>
        <w:t>xxx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 dos autos originais. O prazo consignado é de 1</w:t>
      </w:r>
      <w:r w:rsidR="002C78D4">
        <w:rPr>
          <w:rFonts w:ascii="Arial" w:eastAsia="Arial" w:hAnsi="Arial" w:cs="Arial"/>
          <w:sz w:val="26"/>
          <w:szCs w:val="26"/>
        </w:rPr>
        <w:t>5</w:t>
      </w:r>
      <w:r>
        <w:rPr>
          <w:rFonts w:ascii="Arial" w:eastAsia="Arial" w:hAnsi="Arial" w:cs="Arial"/>
          <w:sz w:val="26"/>
          <w:szCs w:val="26"/>
        </w:rPr>
        <w:t xml:space="preserve"> dias, nos termos do artigo </w:t>
      </w:r>
      <w:r w:rsidR="005A59F9">
        <w:rPr>
          <w:rFonts w:ascii="Arial" w:eastAsia="Arial" w:hAnsi="Arial" w:cs="Arial"/>
          <w:sz w:val="26"/>
          <w:szCs w:val="26"/>
        </w:rPr>
        <w:t>1.003, §</w:t>
      </w:r>
      <w:r w:rsidR="00413635">
        <w:rPr>
          <w:rFonts w:ascii="Arial" w:eastAsia="Arial" w:hAnsi="Arial" w:cs="Arial"/>
          <w:sz w:val="26"/>
          <w:szCs w:val="26"/>
        </w:rPr>
        <w:t>5º do CPC</w:t>
      </w:r>
      <w:r>
        <w:rPr>
          <w:rFonts w:ascii="Arial" w:eastAsia="Arial" w:hAnsi="Arial" w:cs="Arial"/>
          <w:sz w:val="26"/>
          <w:szCs w:val="26"/>
        </w:rPr>
        <w:t>. Interposta a apel</w:t>
      </w:r>
      <w:r w:rsidR="00FA0236">
        <w:rPr>
          <w:rFonts w:ascii="Arial" w:eastAsia="Arial" w:hAnsi="Arial" w:cs="Arial"/>
          <w:sz w:val="26"/>
          <w:szCs w:val="26"/>
        </w:rPr>
        <w:t xml:space="preserve">ação em </w:t>
      </w:r>
      <w:proofErr w:type="spellStart"/>
      <w:r w:rsidR="00413635" w:rsidRPr="00413635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 w:rsidR="00413635" w:rsidRPr="00413635">
        <w:rPr>
          <w:rFonts w:ascii="Arial" w:eastAsia="Arial" w:hAnsi="Arial" w:cs="Arial"/>
          <w:color w:val="EE0000"/>
          <w:sz w:val="26"/>
          <w:szCs w:val="26"/>
        </w:rPr>
        <w:t>/</w:t>
      </w:r>
      <w:proofErr w:type="spellStart"/>
      <w:r w:rsidR="00413635" w:rsidRPr="00413635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 w:rsidR="00413635" w:rsidRPr="00413635">
        <w:rPr>
          <w:rFonts w:ascii="Arial" w:eastAsia="Arial" w:hAnsi="Arial" w:cs="Arial"/>
          <w:color w:val="EE0000"/>
          <w:sz w:val="26"/>
          <w:szCs w:val="26"/>
        </w:rPr>
        <w:t>/</w:t>
      </w:r>
      <w:proofErr w:type="spellStart"/>
      <w:r w:rsidR="00413635" w:rsidRPr="00413635">
        <w:rPr>
          <w:rFonts w:ascii="Arial" w:eastAsia="Arial" w:hAnsi="Arial" w:cs="Arial"/>
          <w:color w:val="EE0000"/>
          <w:sz w:val="26"/>
          <w:szCs w:val="26"/>
        </w:rPr>
        <w:t>xxxx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, o pleito recursal mostra-se tempestivo. </w:t>
      </w:r>
    </w:p>
    <w:p w14:paraId="5EFCCFD2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Estão presentes ainda os demais requisitos intrínsecos (cabimento, legitimidade e interesse de recorrer) e extrínsecos (desnecessidade de preparo e regularidade formal) da apelação. </w:t>
      </w:r>
    </w:p>
    <w:p w14:paraId="23BD976A" w14:textId="7BD35D64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Assim, requer seja o recurso conhecido e provido</w:t>
      </w:r>
      <w:r w:rsidR="00D42756">
        <w:rPr>
          <w:rFonts w:ascii="Arial" w:eastAsia="Arial" w:hAnsi="Arial" w:cs="Arial"/>
          <w:sz w:val="26"/>
          <w:szCs w:val="26"/>
        </w:rPr>
        <w:t>.</w:t>
      </w:r>
    </w:p>
    <w:p w14:paraId="3B66751B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</w:p>
    <w:p w14:paraId="64A75E1B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</w:p>
    <w:p w14:paraId="03D20EB9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II – SÍNTESE PROCESSUAL.</w:t>
      </w:r>
    </w:p>
    <w:p w14:paraId="2C8B8BAD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b/>
          <w:sz w:val="26"/>
          <w:szCs w:val="26"/>
        </w:rPr>
      </w:pPr>
    </w:p>
    <w:p w14:paraId="6B6BFE27" w14:textId="006D83CB" w:rsidR="00606828" w:rsidRDefault="00064CD5" w:rsidP="00D4275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Trata-se de ação </w:t>
      </w:r>
      <w:r w:rsidR="00D42756" w:rsidRPr="00D42756">
        <w:rPr>
          <w:rFonts w:ascii="Arial" w:eastAsia="Arial" w:hAnsi="Arial" w:cs="Arial"/>
          <w:color w:val="EE0000"/>
          <w:sz w:val="26"/>
          <w:szCs w:val="26"/>
        </w:rPr>
        <w:t>(fazer um breve resumo do processo)</w:t>
      </w:r>
      <w:r w:rsidR="00D42756">
        <w:rPr>
          <w:rFonts w:ascii="Arial" w:eastAsia="Arial" w:hAnsi="Arial" w:cs="Arial"/>
          <w:color w:val="000000"/>
          <w:sz w:val="26"/>
          <w:szCs w:val="26"/>
        </w:rPr>
        <w:t xml:space="preserve">. </w:t>
      </w:r>
    </w:p>
    <w:p w14:paraId="187734C3" w14:textId="33247E1D" w:rsidR="00606828" w:rsidRPr="008A0DB4" w:rsidRDefault="00064CD5" w:rsidP="00D42756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color w:val="EE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Este advogado dativo foi nomeado na decisão (mov. </w:t>
      </w:r>
      <w:proofErr w:type="spellStart"/>
      <w:r w:rsidR="00D42756" w:rsidRPr="00D42756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>
        <w:rPr>
          <w:rFonts w:ascii="Arial" w:eastAsia="Arial" w:hAnsi="Arial" w:cs="Arial"/>
          <w:sz w:val="26"/>
          <w:szCs w:val="26"/>
        </w:rPr>
        <w:t xml:space="preserve">) </w:t>
      </w:r>
      <w:r w:rsidRPr="00D42756">
        <w:rPr>
          <w:rFonts w:ascii="Arial" w:eastAsia="Arial" w:hAnsi="Arial" w:cs="Arial"/>
          <w:iCs/>
          <w:sz w:val="26"/>
          <w:szCs w:val="26"/>
        </w:rPr>
        <w:t xml:space="preserve">para atuar no </w:t>
      </w:r>
      <w:r w:rsidR="00FA0236" w:rsidRPr="00D42756">
        <w:rPr>
          <w:rFonts w:ascii="Arial" w:eastAsia="Arial" w:hAnsi="Arial" w:cs="Arial"/>
          <w:iCs/>
          <w:sz w:val="26"/>
          <w:szCs w:val="26"/>
        </w:rPr>
        <w:t xml:space="preserve">presente </w:t>
      </w:r>
      <w:r w:rsidR="00D42756">
        <w:rPr>
          <w:rFonts w:ascii="Arial" w:eastAsia="Arial" w:hAnsi="Arial" w:cs="Arial"/>
          <w:iCs/>
          <w:sz w:val="26"/>
          <w:szCs w:val="26"/>
        </w:rPr>
        <w:t>processo</w:t>
      </w:r>
      <w:r>
        <w:rPr>
          <w:rFonts w:ascii="Arial" w:eastAsia="Arial" w:hAnsi="Arial" w:cs="Arial"/>
          <w:sz w:val="26"/>
          <w:szCs w:val="26"/>
        </w:rPr>
        <w:t xml:space="preserve">, item </w:t>
      </w:r>
      <w:proofErr w:type="spellStart"/>
      <w:r w:rsidR="00D42756" w:rsidRPr="00D42756">
        <w:rPr>
          <w:rFonts w:ascii="Arial" w:eastAsia="Arial" w:hAnsi="Arial" w:cs="Arial"/>
          <w:color w:val="EE0000"/>
          <w:sz w:val="26"/>
          <w:szCs w:val="26"/>
        </w:rPr>
        <w:t>xx</w:t>
      </w:r>
      <w:proofErr w:type="spellEnd"/>
      <w:r w:rsidR="00FA0236">
        <w:rPr>
          <w:rFonts w:ascii="Arial" w:eastAsia="Arial" w:hAnsi="Arial" w:cs="Arial"/>
          <w:sz w:val="26"/>
          <w:szCs w:val="26"/>
        </w:rPr>
        <w:t xml:space="preserve"> do despacho supra. </w:t>
      </w:r>
      <w:r w:rsidR="00D42756" w:rsidRPr="008A0DB4">
        <w:rPr>
          <w:rFonts w:ascii="Arial" w:eastAsia="Arial" w:hAnsi="Arial" w:cs="Arial"/>
          <w:color w:val="EE0000"/>
          <w:sz w:val="26"/>
          <w:szCs w:val="26"/>
        </w:rPr>
        <w:t xml:space="preserve">Fazer um relatório pormenorizado das peças protocoladas </w:t>
      </w:r>
      <w:r w:rsidR="008A0DB4" w:rsidRPr="008A0DB4">
        <w:rPr>
          <w:rFonts w:ascii="Arial" w:eastAsia="Arial" w:hAnsi="Arial" w:cs="Arial"/>
          <w:color w:val="EE0000"/>
          <w:sz w:val="26"/>
          <w:szCs w:val="26"/>
        </w:rPr>
        <w:t xml:space="preserve">e das audiências participadas no feito. </w:t>
      </w:r>
      <w:r w:rsidR="00D42756" w:rsidRPr="008A0DB4">
        <w:rPr>
          <w:rFonts w:ascii="Arial" w:eastAsia="Arial" w:hAnsi="Arial" w:cs="Arial"/>
          <w:color w:val="EE0000"/>
          <w:sz w:val="26"/>
          <w:szCs w:val="26"/>
        </w:rPr>
        <w:t xml:space="preserve"> </w:t>
      </w:r>
    </w:p>
    <w:p w14:paraId="302FE30D" w14:textId="77777777" w:rsidR="000507BE" w:rsidRDefault="000507BE" w:rsidP="000507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A sentença, em que pese o brilhantismo costumeiro do mui.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D.Juízo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, deixou de arbitrar honorários advocatícios ao Defensor dativo, em contrariedade à norma cogente estadual. </w:t>
      </w:r>
    </w:p>
    <w:p w14:paraId="382624C4" w14:textId="02B55F5C" w:rsidR="00606828" w:rsidRDefault="000507B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Opostos e</w:t>
      </w:r>
      <w:r w:rsidR="00064CD5">
        <w:rPr>
          <w:rFonts w:ascii="Arial" w:eastAsia="Arial" w:hAnsi="Arial" w:cs="Arial"/>
          <w:color w:val="000000"/>
          <w:sz w:val="26"/>
          <w:szCs w:val="26"/>
        </w:rPr>
        <w:t xml:space="preserve">mbargos de declaração por </w:t>
      </w:r>
      <w:r w:rsidR="008A0DB4">
        <w:rPr>
          <w:rFonts w:ascii="Arial" w:eastAsia="Arial" w:hAnsi="Arial" w:cs="Arial"/>
          <w:color w:val="000000"/>
          <w:sz w:val="26"/>
          <w:szCs w:val="26"/>
        </w:rPr>
        <w:t>omissão</w:t>
      </w:r>
      <w:r w:rsidR="00064CD5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da sentença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, </w:t>
      </w:r>
      <w:r w:rsidR="00064CD5">
        <w:rPr>
          <w:rFonts w:ascii="Arial" w:eastAsia="Arial" w:hAnsi="Arial" w:cs="Arial"/>
          <w:sz w:val="26"/>
          <w:szCs w:val="26"/>
        </w:rPr>
        <w:t>por falta de arbitramento de honorários</w:t>
      </w:r>
      <w:r w:rsidR="00064CD5"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(mov. </w:t>
      </w:r>
      <w:proofErr w:type="spellStart"/>
      <w:r w:rsidR="008A0DB4" w:rsidRPr="008A0DB4">
        <w:rPr>
          <w:rFonts w:ascii="Arial" w:eastAsia="Arial" w:hAnsi="Arial" w:cs="Arial"/>
          <w:color w:val="EE0000"/>
          <w:sz w:val="26"/>
          <w:szCs w:val="26"/>
        </w:rPr>
        <w:t>xxx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). </w:t>
      </w:r>
      <w:r w:rsidR="00C973E9">
        <w:rPr>
          <w:rFonts w:ascii="Arial" w:eastAsia="Arial" w:hAnsi="Arial" w:cs="Arial"/>
          <w:color w:val="000000"/>
          <w:sz w:val="26"/>
          <w:szCs w:val="26"/>
        </w:rPr>
        <w:t xml:space="preserve">Os embargos foram opostos inclusive para fim de prequestionamento da matéria. </w:t>
      </w:r>
      <w:r>
        <w:rPr>
          <w:rFonts w:ascii="Arial" w:eastAsia="Arial" w:hAnsi="Arial" w:cs="Arial"/>
          <w:color w:val="000000"/>
          <w:sz w:val="26"/>
          <w:szCs w:val="26"/>
        </w:rPr>
        <w:t>D</w:t>
      </w:r>
      <w:r w:rsidR="00064CD5">
        <w:rPr>
          <w:rFonts w:ascii="Arial" w:eastAsia="Arial" w:hAnsi="Arial" w:cs="Arial"/>
          <w:sz w:val="26"/>
          <w:szCs w:val="26"/>
        </w:rPr>
        <w:t>ecisão com indeferimento do pedi</w:t>
      </w:r>
      <w:r>
        <w:rPr>
          <w:rFonts w:ascii="Arial" w:eastAsia="Arial" w:hAnsi="Arial" w:cs="Arial"/>
          <w:sz w:val="26"/>
          <w:szCs w:val="26"/>
        </w:rPr>
        <w:t xml:space="preserve">do e </w:t>
      </w:r>
      <w:r w:rsidR="00FA0236">
        <w:rPr>
          <w:rFonts w:ascii="Arial" w:eastAsia="Arial" w:hAnsi="Arial" w:cs="Arial"/>
          <w:sz w:val="26"/>
          <w:szCs w:val="26"/>
        </w:rPr>
        <w:t xml:space="preserve">julgamento pelo não </w:t>
      </w:r>
      <w:r>
        <w:rPr>
          <w:rFonts w:ascii="Arial" w:eastAsia="Arial" w:hAnsi="Arial" w:cs="Arial"/>
          <w:sz w:val="26"/>
          <w:szCs w:val="26"/>
        </w:rPr>
        <w:t>provimento</w:t>
      </w:r>
      <w:r w:rsidR="00FA0236">
        <w:rPr>
          <w:rFonts w:ascii="Arial" w:eastAsia="Arial" w:hAnsi="Arial" w:cs="Arial"/>
          <w:sz w:val="26"/>
          <w:szCs w:val="26"/>
        </w:rPr>
        <w:t xml:space="preserve"> dos embargos no </w:t>
      </w:r>
      <w:r w:rsidR="00FA0236">
        <w:rPr>
          <w:rFonts w:ascii="Arial" w:eastAsia="Arial" w:hAnsi="Arial" w:cs="Arial"/>
          <w:color w:val="000000"/>
          <w:sz w:val="26"/>
          <w:szCs w:val="26"/>
        </w:rPr>
        <w:t xml:space="preserve">mov. </w:t>
      </w:r>
      <w:proofErr w:type="spellStart"/>
      <w:r w:rsidR="00221638" w:rsidRPr="00221638">
        <w:rPr>
          <w:rFonts w:ascii="Arial" w:eastAsia="Arial" w:hAnsi="Arial" w:cs="Arial"/>
          <w:color w:val="EE0000"/>
          <w:sz w:val="26"/>
          <w:szCs w:val="26"/>
        </w:rPr>
        <w:t>xxxxx</w:t>
      </w:r>
      <w:proofErr w:type="spellEnd"/>
      <w:r w:rsidR="00064CD5">
        <w:rPr>
          <w:rFonts w:ascii="Arial" w:eastAsia="Arial" w:hAnsi="Arial" w:cs="Arial"/>
          <w:color w:val="000000"/>
          <w:sz w:val="26"/>
          <w:szCs w:val="26"/>
        </w:rPr>
        <w:t>.</w:t>
      </w:r>
    </w:p>
    <w:p w14:paraId="2A5D5224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</w:p>
    <w:p w14:paraId="5924E7DF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</w:p>
    <w:p w14:paraId="77E04A13" w14:textId="77777777" w:rsidR="00606828" w:rsidRDefault="00064CD5" w:rsidP="00FA0236">
      <w:pPr>
        <w:tabs>
          <w:tab w:val="left" w:pos="4905"/>
        </w:tabs>
        <w:spacing w:line="360" w:lineRule="auto"/>
        <w:ind w:firstLine="1134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III – DA RESPEITÁVEL SENTENÇA PROLATADA.</w:t>
      </w:r>
    </w:p>
    <w:p w14:paraId="7286A29A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b/>
          <w:sz w:val="26"/>
          <w:szCs w:val="26"/>
        </w:rPr>
      </w:pPr>
    </w:p>
    <w:p w14:paraId="3218D6C5" w14:textId="77A93D49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 Juízo </w:t>
      </w:r>
      <w:r>
        <w:rPr>
          <w:rFonts w:ascii="Arial" w:eastAsia="Arial" w:hAnsi="Arial" w:cs="Arial"/>
          <w:i/>
          <w:sz w:val="26"/>
          <w:szCs w:val="26"/>
        </w:rPr>
        <w:t>a quo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FA0236">
        <w:rPr>
          <w:rFonts w:ascii="Arial" w:eastAsia="Arial" w:hAnsi="Arial" w:cs="Arial"/>
          <w:color w:val="000000"/>
          <w:sz w:val="26"/>
          <w:szCs w:val="26"/>
        </w:rPr>
        <w:t>deixou de proceder ao</w:t>
      </w:r>
      <w:r>
        <w:rPr>
          <w:rFonts w:ascii="Arial" w:eastAsia="Arial" w:hAnsi="Arial" w:cs="Arial"/>
          <w:sz w:val="26"/>
          <w:szCs w:val="26"/>
        </w:rPr>
        <w:t xml:space="preserve"> arbitramento de honorários advocatício</w:t>
      </w:r>
      <w:r w:rsidR="00FA0236">
        <w:rPr>
          <w:rFonts w:ascii="Arial" w:eastAsia="Arial" w:hAnsi="Arial" w:cs="Arial"/>
          <w:sz w:val="26"/>
          <w:szCs w:val="26"/>
        </w:rPr>
        <w:t>s,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="000507BE">
        <w:rPr>
          <w:rFonts w:ascii="Arial" w:eastAsia="Arial" w:hAnsi="Arial" w:cs="Arial"/>
          <w:sz w:val="26"/>
          <w:szCs w:val="26"/>
        </w:rPr>
        <w:t xml:space="preserve">em contrariedade à Lei Estadual, motivo pelo qual se interpõe o presente apelo. Dispôs a </w:t>
      </w:r>
      <w:r>
        <w:rPr>
          <w:rFonts w:ascii="Arial" w:eastAsia="Arial" w:hAnsi="Arial" w:cs="Arial"/>
          <w:sz w:val="26"/>
          <w:szCs w:val="26"/>
        </w:rPr>
        <w:t xml:space="preserve">sentença </w:t>
      </w:r>
      <w:r>
        <w:rPr>
          <w:rFonts w:ascii="Arial" w:eastAsia="Arial" w:hAnsi="Arial" w:cs="Arial"/>
          <w:color w:val="000000"/>
          <w:sz w:val="26"/>
          <w:szCs w:val="26"/>
        </w:rPr>
        <w:t>(</w:t>
      </w:r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evento </w:t>
      </w:r>
      <w:proofErr w:type="spellStart"/>
      <w:r w:rsidR="00426F45">
        <w:rPr>
          <w:rFonts w:ascii="Arial" w:eastAsia="Arial" w:hAnsi="Arial" w:cs="Arial"/>
          <w:i/>
          <w:sz w:val="26"/>
          <w:szCs w:val="26"/>
        </w:rPr>
        <w:t>xxx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>)</w:t>
      </w:r>
      <w:r w:rsidR="00FA0236">
        <w:rPr>
          <w:rFonts w:ascii="Arial" w:eastAsia="Arial" w:hAnsi="Arial" w:cs="Arial"/>
          <w:color w:val="000000"/>
          <w:sz w:val="26"/>
          <w:szCs w:val="26"/>
        </w:rPr>
        <w:t xml:space="preserve">, </w:t>
      </w:r>
      <w:r w:rsidR="00FA0236" w:rsidRPr="00FA0236">
        <w:rPr>
          <w:rFonts w:ascii="Arial" w:eastAsia="Arial" w:hAnsi="Arial" w:cs="Arial"/>
          <w:i/>
          <w:color w:val="000000"/>
          <w:sz w:val="26"/>
          <w:szCs w:val="26"/>
        </w:rPr>
        <w:t xml:space="preserve">in </w:t>
      </w:r>
      <w:proofErr w:type="spellStart"/>
      <w:r w:rsidR="00FA0236" w:rsidRPr="00FA0236">
        <w:rPr>
          <w:rFonts w:ascii="Arial" w:eastAsia="Arial" w:hAnsi="Arial" w:cs="Arial"/>
          <w:i/>
          <w:color w:val="000000"/>
          <w:sz w:val="26"/>
          <w:szCs w:val="26"/>
        </w:rPr>
        <w:t>verbis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>:</w:t>
      </w:r>
    </w:p>
    <w:p w14:paraId="7DF421E6" w14:textId="77777777" w:rsidR="00606828" w:rsidRDefault="00606828">
      <w:pPr>
        <w:tabs>
          <w:tab w:val="left" w:pos="496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454E3D1F" w14:textId="410E6183" w:rsidR="00606828" w:rsidRPr="00FA0236" w:rsidRDefault="00064CD5" w:rsidP="00426F45">
      <w:pPr>
        <w:spacing w:line="360" w:lineRule="auto"/>
        <w:ind w:left="2268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lastRenderedPageBreak/>
        <w:t>“</w:t>
      </w:r>
      <w:r w:rsidR="00426F45" w:rsidRPr="005527AB">
        <w:rPr>
          <w:rFonts w:ascii="Arial" w:eastAsia="Arial" w:hAnsi="Arial" w:cs="Arial"/>
          <w:i/>
          <w:color w:val="EE0000"/>
          <w:sz w:val="22"/>
          <w:szCs w:val="22"/>
        </w:rPr>
        <w:t xml:space="preserve">Colacionar o trecho dispositivo da decisão que foi omisso quanto ao arbitramento, ou o trecho que indeferiu </w:t>
      </w:r>
      <w:r w:rsidR="005527AB" w:rsidRPr="005527AB">
        <w:rPr>
          <w:rFonts w:ascii="Arial" w:eastAsia="Arial" w:hAnsi="Arial" w:cs="Arial"/>
          <w:i/>
          <w:color w:val="EE0000"/>
          <w:sz w:val="22"/>
          <w:szCs w:val="22"/>
        </w:rPr>
        <w:t>o arbitramento</w:t>
      </w:r>
      <w:r>
        <w:rPr>
          <w:rFonts w:ascii="Arial" w:eastAsia="Arial" w:hAnsi="Arial" w:cs="Arial"/>
          <w:i/>
          <w:sz w:val="22"/>
          <w:szCs w:val="22"/>
        </w:rPr>
        <w:t>”</w:t>
      </w:r>
      <w:r w:rsidR="00FA0236">
        <w:rPr>
          <w:rFonts w:ascii="Arial" w:eastAsia="Arial" w:hAnsi="Arial" w:cs="Arial"/>
          <w:i/>
          <w:sz w:val="22"/>
          <w:szCs w:val="22"/>
        </w:rPr>
        <w:t xml:space="preserve"> </w:t>
      </w:r>
      <w:r w:rsidRPr="00FA0236">
        <w:rPr>
          <w:rFonts w:ascii="Arial" w:eastAsia="Arial" w:hAnsi="Arial" w:cs="Arial"/>
          <w:sz w:val="22"/>
          <w:szCs w:val="22"/>
        </w:rPr>
        <w:t xml:space="preserve">(sentença de mov. </w:t>
      </w:r>
      <w:proofErr w:type="spellStart"/>
      <w:r w:rsidR="005527AB" w:rsidRPr="005527AB">
        <w:rPr>
          <w:rFonts w:ascii="Arial" w:eastAsia="Arial" w:hAnsi="Arial" w:cs="Arial"/>
          <w:color w:val="EE0000"/>
          <w:sz w:val="22"/>
          <w:szCs w:val="22"/>
        </w:rPr>
        <w:t>xxx</w:t>
      </w:r>
      <w:proofErr w:type="spellEnd"/>
      <w:r w:rsidRPr="00FA0236">
        <w:rPr>
          <w:rFonts w:ascii="Arial" w:eastAsia="Arial" w:hAnsi="Arial" w:cs="Arial"/>
          <w:sz w:val="22"/>
          <w:szCs w:val="22"/>
        </w:rPr>
        <w:t xml:space="preserve"> dos autos originais).</w:t>
      </w:r>
    </w:p>
    <w:p w14:paraId="658B9A89" w14:textId="77777777" w:rsidR="00606828" w:rsidRDefault="00606828">
      <w:pPr>
        <w:spacing w:line="360" w:lineRule="auto"/>
        <w:ind w:left="2268" w:firstLine="1134"/>
        <w:jc w:val="both"/>
        <w:rPr>
          <w:rFonts w:ascii="Arial" w:eastAsia="Arial" w:hAnsi="Arial" w:cs="Arial"/>
          <w:sz w:val="26"/>
          <w:szCs w:val="26"/>
        </w:rPr>
      </w:pPr>
    </w:p>
    <w:p w14:paraId="37B47687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Rejeitado o pedido de arbitramento no</w:t>
      </w:r>
      <w:r w:rsidR="008861BD">
        <w:rPr>
          <w:rFonts w:ascii="Arial" w:eastAsia="Arial" w:hAnsi="Arial" w:cs="Arial"/>
          <w:sz w:val="26"/>
          <w:szCs w:val="26"/>
        </w:rPr>
        <w:t>s</w:t>
      </w:r>
      <w:r>
        <w:rPr>
          <w:rFonts w:ascii="Arial" w:eastAsia="Arial" w:hAnsi="Arial" w:cs="Arial"/>
          <w:sz w:val="26"/>
          <w:szCs w:val="26"/>
        </w:rPr>
        <w:t xml:space="preserve"> embargos de declaração por contradição</w:t>
      </w:r>
      <w:r w:rsidR="008861BD">
        <w:rPr>
          <w:rFonts w:ascii="Arial" w:eastAsia="Arial" w:hAnsi="Arial" w:cs="Arial"/>
          <w:sz w:val="26"/>
          <w:szCs w:val="26"/>
        </w:rPr>
        <w:t xml:space="preserve"> entre a decisão e a Lei Estadual </w:t>
      </w:r>
      <w:r w:rsidR="008861BD">
        <w:rPr>
          <w:rFonts w:ascii="Arial" w:eastAsia="Arial" w:hAnsi="Arial" w:cs="Arial"/>
          <w:color w:val="000000"/>
          <w:sz w:val="26"/>
          <w:szCs w:val="26"/>
        </w:rPr>
        <w:t>18.664/2015</w:t>
      </w:r>
      <w:r w:rsidR="008861BD">
        <w:rPr>
          <w:rFonts w:ascii="Arial" w:eastAsia="Arial" w:hAnsi="Arial" w:cs="Arial"/>
          <w:sz w:val="26"/>
          <w:szCs w:val="26"/>
        </w:rPr>
        <w:t>, observe-se:</w:t>
      </w:r>
    </w:p>
    <w:p w14:paraId="2133DD14" w14:textId="77777777" w:rsidR="008861BD" w:rsidRDefault="008861BD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</w:p>
    <w:p w14:paraId="5DB51F68" w14:textId="3EA804D9" w:rsidR="00606828" w:rsidRPr="00050295" w:rsidRDefault="00064CD5">
      <w:pPr>
        <w:spacing w:line="360" w:lineRule="auto"/>
        <w:ind w:left="2267" w:firstLine="1140"/>
        <w:jc w:val="both"/>
        <w:rPr>
          <w:rFonts w:ascii="Arial" w:eastAsia="Arial" w:hAnsi="Arial" w:cs="Arial"/>
          <w:color w:val="EE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</w:t>
      </w:r>
      <w:r w:rsidR="00050295" w:rsidRPr="00050295">
        <w:rPr>
          <w:rFonts w:ascii="Arial" w:eastAsia="Arial" w:hAnsi="Arial" w:cs="Arial"/>
          <w:color w:val="EE0000"/>
          <w:sz w:val="22"/>
          <w:szCs w:val="22"/>
        </w:rPr>
        <w:t xml:space="preserve">Colacionar o trecho da decisão que julgou improcedentes os embargos de declaração que </w:t>
      </w:r>
      <w:proofErr w:type="spellStart"/>
      <w:r w:rsidR="00050295" w:rsidRPr="00050295">
        <w:rPr>
          <w:rFonts w:ascii="Arial" w:eastAsia="Arial" w:hAnsi="Arial" w:cs="Arial"/>
          <w:color w:val="EE0000"/>
          <w:sz w:val="22"/>
          <w:szCs w:val="22"/>
        </w:rPr>
        <w:t>pré</w:t>
      </w:r>
      <w:proofErr w:type="spellEnd"/>
      <w:r w:rsidR="00050295" w:rsidRPr="00050295">
        <w:rPr>
          <w:rFonts w:ascii="Arial" w:eastAsia="Arial" w:hAnsi="Arial" w:cs="Arial"/>
          <w:color w:val="EE0000"/>
          <w:sz w:val="22"/>
          <w:szCs w:val="22"/>
        </w:rPr>
        <w:t xml:space="preserve">-questionaram a matéria. </w:t>
      </w:r>
    </w:p>
    <w:p w14:paraId="0882BC24" w14:textId="77777777" w:rsidR="00606828" w:rsidRPr="00050295" w:rsidRDefault="00606828">
      <w:pPr>
        <w:spacing w:line="360" w:lineRule="auto"/>
        <w:ind w:left="2267" w:firstLine="1140"/>
        <w:jc w:val="both"/>
        <w:rPr>
          <w:rFonts w:ascii="Arial" w:eastAsia="Arial" w:hAnsi="Arial" w:cs="Arial"/>
          <w:color w:val="EE0000"/>
          <w:sz w:val="22"/>
          <w:szCs w:val="22"/>
        </w:rPr>
      </w:pPr>
    </w:p>
    <w:p w14:paraId="1A785F03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Assim, </w:t>
      </w:r>
      <w:r w:rsidR="008861BD">
        <w:rPr>
          <w:rFonts w:ascii="Arial" w:eastAsia="Arial" w:hAnsi="Arial" w:cs="Arial"/>
          <w:color w:val="000000"/>
          <w:sz w:val="26"/>
          <w:szCs w:val="26"/>
        </w:rPr>
        <w:t xml:space="preserve">manifestando inconformidade a r. sentença, por negligenciar </w:t>
      </w:r>
      <w:r>
        <w:rPr>
          <w:rFonts w:ascii="Arial" w:eastAsia="Arial" w:hAnsi="Arial" w:cs="Arial"/>
          <w:color w:val="000000"/>
          <w:sz w:val="26"/>
          <w:szCs w:val="26"/>
        </w:rPr>
        <w:t>o dispos</w:t>
      </w:r>
      <w:r w:rsidR="000507BE">
        <w:rPr>
          <w:rFonts w:ascii="Arial" w:eastAsia="Arial" w:hAnsi="Arial" w:cs="Arial"/>
          <w:color w:val="000000"/>
          <w:sz w:val="26"/>
          <w:szCs w:val="26"/>
        </w:rPr>
        <w:t>t</w:t>
      </w:r>
      <w:r w:rsidR="008861BD">
        <w:rPr>
          <w:rFonts w:ascii="Arial" w:eastAsia="Arial" w:hAnsi="Arial" w:cs="Arial"/>
          <w:color w:val="000000"/>
          <w:sz w:val="26"/>
          <w:szCs w:val="26"/>
        </w:rPr>
        <w:t xml:space="preserve">o no </w:t>
      </w:r>
      <w:r>
        <w:rPr>
          <w:rFonts w:ascii="Arial" w:eastAsia="Arial" w:hAnsi="Arial" w:cs="Arial"/>
          <w:i/>
          <w:color w:val="000000"/>
          <w:sz w:val="26"/>
          <w:szCs w:val="26"/>
        </w:rPr>
        <w:t>Art. 5º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 w:rsidR="008861BD">
        <w:rPr>
          <w:rFonts w:ascii="Arial" w:eastAsia="Arial" w:hAnsi="Arial" w:cs="Arial"/>
          <w:color w:val="000000"/>
          <w:sz w:val="26"/>
          <w:szCs w:val="26"/>
        </w:rPr>
        <w:t xml:space="preserve">da </w:t>
      </w:r>
      <w:r>
        <w:rPr>
          <w:rFonts w:ascii="Arial" w:eastAsia="Arial" w:hAnsi="Arial" w:cs="Arial"/>
          <w:color w:val="000000"/>
          <w:sz w:val="26"/>
          <w:szCs w:val="26"/>
        </w:rPr>
        <w:t>Lei Estadual 18.664/2015</w:t>
      </w:r>
      <w:r w:rsidR="008861BD">
        <w:rPr>
          <w:rFonts w:ascii="Arial" w:eastAsia="Arial" w:hAnsi="Arial" w:cs="Arial"/>
          <w:color w:val="000000"/>
          <w:sz w:val="26"/>
          <w:szCs w:val="26"/>
        </w:rPr>
        <w:t>, não resta alternativa à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Apelante senão a interposição do presente recurso.</w:t>
      </w:r>
    </w:p>
    <w:p w14:paraId="16E1B6D5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6C2FBA74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</w:p>
    <w:p w14:paraId="7E10F35E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IV – FUNDAMENTAÇÃO JURÍDICA PARA REFORMA DA SENTENÇA. </w:t>
      </w:r>
    </w:p>
    <w:p w14:paraId="6B554778" w14:textId="77777777" w:rsidR="00606828" w:rsidRDefault="00606828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19E6269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A importância da assistência jurídica e do acesso à justiça como um direito de defesa é evidenciada </w:t>
      </w:r>
      <w:r w:rsidR="008861BD">
        <w:rPr>
          <w:rFonts w:ascii="Arial" w:eastAsia="Arial" w:hAnsi="Arial" w:cs="Arial"/>
          <w:sz w:val="26"/>
          <w:szCs w:val="26"/>
        </w:rPr>
        <w:t xml:space="preserve">em muitos estudos, como por exemplo </w:t>
      </w:r>
      <w:r>
        <w:rPr>
          <w:rFonts w:ascii="Arial" w:eastAsia="Arial" w:hAnsi="Arial" w:cs="Arial"/>
          <w:sz w:val="26"/>
          <w:szCs w:val="26"/>
        </w:rPr>
        <w:t>na tese de doutorado intitulada "Acesso à Justiça: A Defesa dos Interesses Difusos da Criança e do Adolescente - Ficção ou Realidade?", apresentada pela Dra. Olga Maria Boschi Aguiar de Oliveira</w:t>
      </w:r>
      <w:r w:rsidR="008861BD">
        <w:rPr>
          <w:rStyle w:val="ncoradanotaderodap"/>
          <w:rFonts w:ascii="Arial" w:hAnsi="Arial"/>
          <w:color w:val="000000"/>
        </w:rPr>
        <w:footnoteReference w:id="1"/>
      </w:r>
      <w:r>
        <w:rPr>
          <w:rFonts w:ascii="Arial" w:eastAsia="Arial" w:hAnsi="Arial" w:cs="Arial"/>
          <w:sz w:val="26"/>
          <w:szCs w:val="26"/>
        </w:rPr>
        <w:t xml:space="preserve">. </w:t>
      </w:r>
    </w:p>
    <w:p w14:paraId="2E66504B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sz w:val="22"/>
          <w:szCs w:val="22"/>
        </w:rPr>
      </w:pPr>
    </w:p>
    <w:p w14:paraId="26231315" w14:textId="09379E1C" w:rsidR="00606828" w:rsidRDefault="00064CD5" w:rsidP="008861BD">
      <w:pPr>
        <w:spacing w:line="360" w:lineRule="auto"/>
        <w:ind w:left="2267" w:firstLine="11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"A assistência jurídica há de ser integral e gratuita,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segundo o que dispõe o art. 52, LXXIV, C.F., incluindo o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patrocínio e orientação, inclusive, em situações extrajudiciais -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advocacia preventiva". (</w:t>
      </w:r>
      <w:proofErr w:type="spellStart"/>
      <w:r>
        <w:rPr>
          <w:rFonts w:ascii="Arial" w:eastAsia="Arial" w:hAnsi="Arial" w:cs="Arial"/>
          <w:sz w:val="22"/>
          <w:szCs w:val="22"/>
        </w:rPr>
        <w:t>Pág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171, Aguiar de Oliveira, Olga).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</w:p>
    <w:p w14:paraId="2A9FCB32" w14:textId="77777777" w:rsidR="008861BD" w:rsidRDefault="008861BD" w:rsidP="008861BD">
      <w:pPr>
        <w:spacing w:line="360" w:lineRule="auto"/>
        <w:ind w:left="2267" w:firstLine="1140"/>
        <w:jc w:val="both"/>
        <w:rPr>
          <w:rFonts w:ascii="Arial" w:eastAsia="Arial" w:hAnsi="Arial" w:cs="Arial"/>
          <w:sz w:val="22"/>
          <w:szCs w:val="22"/>
        </w:rPr>
      </w:pPr>
    </w:p>
    <w:p w14:paraId="4F430A57" w14:textId="77777777" w:rsidR="00606828" w:rsidRDefault="00064CD5">
      <w:pPr>
        <w:spacing w:line="360" w:lineRule="auto"/>
        <w:ind w:firstLine="1134"/>
        <w:jc w:val="both"/>
        <w:rPr>
          <w:rFonts w:ascii="Arial" w:eastAsia="Arial" w:hAnsi="Arial" w:cs="Arial"/>
          <w:color w:val="111111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Isso ressalta a importância da advocacia dativa em processos judiciais, bem como o papel fundamental do defensor. A relevância desse papel já foi </w:t>
      </w:r>
      <w:r>
        <w:rPr>
          <w:rFonts w:ascii="Arial" w:eastAsia="Arial" w:hAnsi="Arial" w:cs="Arial"/>
          <w:color w:val="111111"/>
          <w:sz w:val="26"/>
          <w:szCs w:val="26"/>
        </w:rPr>
        <w:lastRenderedPageBreak/>
        <w:t>destacada até mesmo pela Organização das Nações Unidas. Continuando na argumentação da mesma tese</w:t>
      </w:r>
      <w:r w:rsidR="008861BD">
        <w:rPr>
          <w:rFonts w:ascii="Arial" w:eastAsia="Arial" w:hAnsi="Arial" w:cs="Arial"/>
          <w:color w:val="111111"/>
          <w:sz w:val="26"/>
          <w:szCs w:val="26"/>
        </w:rPr>
        <w:t xml:space="preserve"> citada acima</w:t>
      </w:r>
      <w:r>
        <w:rPr>
          <w:rFonts w:ascii="Arial" w:eastAsia="Arial" w:hAnsi="Arial" w:cs="Arial"/>
          <w:color w:val="111111"/>
          <w:sz w:val="26"/>
          <w:szCs w:val="26"/>
        </w:rPr>
        <w:t>:</w:t>
      </w:r>
    </w:p>
    <w:p w14:paraId="59F088E4" w14:textId="77777777" w:rsidR="00606828" w:rsidRDefault="00606828">
      <w:pPr>
        <w:widowControl/>
        <w:spacing w:line="360" w:lineRule="auto"/>
        <w:ind w:left="2268" w:firstLine="1134"/>
        <w:jc w:val="both"/>
        <w:rPr>
          <w:rFonts w:ascii="Arial" w:eastAsia="Arial" w:hAnsi="Arial" w:cs="Arial"/>
          <w:sz w:val="22"/>
          <w:szCs w:val="22"/>
        </w:rPr>
      </w:pPr>
    </w:p>
    <w:p w14:paraId="7BC07222" w14:textId="77777777" w:rsidR="008861BD" w:rsidRDefault="00064CD5">
      <w:pPr>
        <w:widowControl/>
        <w:spacing w:line="360" w:lineRule="auto"/>
        <w:ind w:left="2268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“A atuação do advogado no processo não constitui algo totalmente novo. Simplesmente a nova Lei conformou-se às Regras Mínimas das Nações Unidas para a Administração da Justiça de Menores - "Regras de Beijing" ^ - China, 1984 -, especificamente, às regras de números 7.1 e 15.1.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</w:p>
    <w:p w14:paraId="20E7845B" w14:textId="77777777" w:rsidR="008861BD" w:rsidRDefault="00064CD5">
      <w:pPr>
        <w:widowControl/>
        <w:spacing w:line="360" w:lineRule="auto"/>
        <w:ind w:left="2268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 n. 7.1 dessas regras determina às nações que "as garantias </w:t>
      </w:r>
      <w:proofErr w:type="spellStart"/>
      <w:r>
        <w:rPr>
          <w:rFonts w:ascii="Arial" w:eastAsia="Arial" w:hAnsi="Arial" w:cs="Arial"/>
          <w:sz w:val="22"/>
          <w:szCs w:val="22"/>
        </w:rPr>
        <w:t>processuáis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básicas, como a presunção da inocência, o</w:t>
      </w:r>
      <w:r>
        <w:rPr>
          <w:rFonts w:ascii="Arial" w:eastAsia="Arial" w:hAnsi="Arial" w:cs="Arial"/>
          <w:sz w:val="22"/>
          <w:szCs w:val="22"/>
        </w:rPr>
        <w:br/>
        <w:t>direito de ser notificado da acusação, o direito de permanecer em silêncio, o direito a advogado, o direito à presença do pai ou responsável, o direito a recurso à instância superior, devem ser asseguradas em todas as fases do processo".</w:t>
      </w:r>
      <w:r w:rsidR="008861BD">
        <w:rPr>
          <w:rFonts w:ascii="Arial" w:eastAsia="Arial" w:hAnsi="Arial" w:cs="Arial"/>
          <w:sz w:val="22"/>
          <w:szCs w:val="22"/>
        </w:rPr>
        <w:t xml:space="preserve"> </w:t>
      </w:r>
    </w:p>
    <w:p w14:paraId="6CCD503A" w14:textId="77777777" w:rsidR="00606828" w:rsidRPr="008861BD" w:rsidRDefault="00064CD5" w:rsidP="008861BD">
      <w:pPr>
        <w:widowControl/>
        <w:spacing w:line="360" w:lineRule="auto"/>
        <w:ind w:left="2268" w:firstLine="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Regra n. 15.1 prescreve que o "menor terá direito a se fazer representar por um advogado durante todo o processo ou a solicitar assistência judiciária gratuita, qu</w:t>
      </w:r>
      <w:r w:rsidR="008861BD">
        <w:rPr>
          <w:rFonts w:ascii="Arial" w:eastAsia="Arial" w:hAnsi="Arial" w:cs="Arial"/>
          <w:sz w:val="22"/>
          <w:szCs w:val="22"/>
        </w:rPr>
        <w:t>ando prevista nas</w:t>
      </w:r>
      <w:r w:rsidR="008861BD">
        <w:rPr>
          <w:rFonts w:ascii="Arial" w:eastAsia="Arial" w:hAnsi="Arial" w:cs="Arial"/>
          <w:sz w:val="22"/>
          <w:szCs w:val="22"/>
        </w:rPr>
        <w:br/>
        <w:t xml:space="preserve">leis do </w:t>
      </w:r>
      <w:proofErr w:type="gramStart"/>
      <w:r w:rsidR="008861BD">
        <w:rPr>
          <w:rFonts w:ascii="Arial" w:eastAsia="Arial" w:hAnsi="Arial" w:cs="Arial"/>
          <w:sz w:val="22"/>
          <w:szCs w:val="22"/>
        </w:rPr>
        <w:t>pais</w:t>
      </w:r>
      <w:proofErr w:type="gramEnd"/>
      <w:r w:rsidR="008861BD">
        <w:rPr>
          <w:rFonts w:ascii="Arial" w:eastAsia="Arial" w:hAnsi="Arial" w:cs="Arial"/>
          <w:sz w:val="22"/>
          <w:szCs w:val="22"/>
        </w:rPr>
        <w:t>"</w:t>
      </w:r>
      <w:r>
        <w:rPr>
          <w:rFonts w:ascii="Arial" w:eastAsia="Arial" w:hAnsi="Arial" w:cs="Arial"/>
          <w:sz w:val="22"/>
          <w:szCs w:val="22"/>
        </w:rPr>
        <w:t xml:space="preserve"> (Pág</w:t>
      </w:r>
      <w:r w:rsidR="008861BD"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z w:val="22"/>
          <w:szCs w:val="22"/>
        </w:rPr>
        <w:t xml:space="preserve"> 176 e 177 - Aguiar de Oliveira, Olga</w:t>
      </w:r>
      <w:r w:rsidR="008861BD">
        <w:rPr>
          <w:rFonts w:ascii="Arial" w:eastAsia="Arial" w:hAnsi="Arial" w:cs="Arial"/>
          <w:sz w:val="22"/>
          <w:szCs w:val="22"/>
        </w:rPr>
        <w:t xml:space="preserve">. </w:t>
      </w:r>
      <w:r w:rsidR="008861BD" w:rsidRPr="008861BD">
        <w:rPr>
          <w:rFonts w:ascii="Arial" w:eastAsia="Arial" w:hAnsi="Arial" w:cs="Arial"/>
          <w:i/>
          <w:sz w:val="22"/>
          <w:szCs w:val="22"/>
        </w:rPr>
        <w:t xml:space="preserve">Opus </w:t>
      </w:r>
      <w:proofErr w:type="spellStart"/>
      <w:r w:rsidR="008861BD" w:rsidRPr="008861BD">
        <w:rPr>
          <w:rFonts w:ascii="Arial" w:eastAsia="Arial" w:hAnsi="Arial" w:cs="Arial"/>
          <w:i/>
          <w:sz w:val="22"/>
          <w:szCs w:val="22"/>
        </w:rPr>
        <w:t>cit</w:t>
      </w:r>
      <w:proofErr w:type="spellEnd"/>
      <w:r w:rsidR="008861BD"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1B8BB19D" w14:textId="77777777" w:rsidR="00606828" w:rsidRDefault="00606828">
      <w:pPr>
        <w:spacing w:line="360" w:lineRule="auto"/>
        <w:ind w:firstLine="1134"/>
        <w:jc w:val="both"/>
        <w:rPr>
          <w:rFonts w:ascii="Arial" w:eastAsia="Arial" w:hAnsi="Arial" w:cs="Arial"/>
          <w:color w:val="111111"/>
          <w:sz w:val="26"/>
          <w:szCs w:val="26"/>
        </w:rPr>
      </w:pPr>
    </w:p>
    <w:p w14:paraId="63C6F136" w14:textId="3974FC01" w:rsidR="008861BD" w:rsidRPr="00BB1BCD" w:rsidRDefault="00064CD5" w:rsidP="00BB1BCD">
      <w:pPr>
        <w:spacing w:line="360" w:lineRule="auto"/>
        <w:ind w:firstLine="1134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111111"/>
          <w:sz w:val="26"/>
          <w:szCs w:val="26"/>
        </w:rPr>
        <w:t xml:space="preserve">Na Resolução </w:t>
      </w:r>
      <w:proofErr w:type="spellStart"/>
      <w:r>
        <w:rPr>
          <w:rFonts w:ascii="Arial" w:eastAsia="Arial" w:hAnsi="Arial" w:cs="Arial"/>
          <w:color w:val="111111"/>
          <w:sz w:val="26"/>
          <w:szCs w:val="26"/>
        </w:rPr>
        <w:t>ConjuntaPGE</w:t>
      </w:r>
      <w:proofErr w:type="spellEnd"/>
      <w:r>
        <w:rPr>
          <w:rFonts w:ascii="Arial" w:eastAsia="Arial" w:hAnsi="Arial" w:cs="Arial"/>
          <w:color w:val="111111"/>
          <w:sz w:val="26"/>
          <w:szCs w:val="26"/>
        </w:rPr>
        <w:t xml:space="preserve">/SEFA, são fixados os montantes de remuneração </w:t>
      </w:r>
      <w:r w:rsidR="008861BD">
        <w:rPr>
          <w:rFonts w:ascii="Arial" w:eastAsia="Arial" w:hAnsi="Arial" w:cs="Arial"/>
          <w:color w:val="111111"/>
          <w:sz w:val="26"/>
          <w:szCs w:val="26"/>
        </w:rPr>
        <w:t xml:space="preserve">mínimos 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para os serviços prestados pelo Defensor </w:t>
      </w:r>
      <w:r w:rsidR="008861BD">
        <w:rPr>
          <w:rFonts w:ascii="Arial" w:eastAsia="Arial" w:hAnsi="Arial" w:cs="Arial"/>
          <w:color w:val="111111"/>
          <w:sz w:val="26"/>
          <w:szCs w:val="26"/>
        </w:rPr>
        <w:t>D</w:t>
      </w:r>
      <w:r>
        <w:rPr>
          <w:rFonts w:ascii="Arial" w:eastAsia="Arial" w:hAnsi="Arial" w:cs="Arial"/>
          <w:color w:val="111111"/>
          <w:sz w:val="26"/>
          <w:szCs w:val="26"/>
        </w:rPr>
        <w:t xml:space="preserve">ativo. </w:t>
      </w:r>
      <w:r w:rsidR="008861BD">
        <w:rPr>
          <w:rFonts w:ascii="Arial" w:hAnsi="Arial" w:cs="Arial"/>
          <w:sz w:val="26"/>
          <w:szCs w:val="26"/>
        </w:rPr>
        <w:t xml:space="preserve">Cabendo ao Defensor decidir o melhor momento e o cabimento de protocolar petições, fazer requerimentos, ou acompanhar o trâmite do processo sem manifestação expressa. </w:t>
      </w:r>
    </w:p>
    <w:p w14:paraId="6220A32B" w14:textId="261E30F3" w:rsidR="008861BD" w:rsidRDefault="008861BD" w:rsidP="008861BD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5130CA">
        <w:rPr>
          <w:rFonts w:ascii="Arial" w:hAnsi="Arial" w:cs="Arial"/>
          <w:b/>
          <w:sz w:val="26"/>
          <w:szCs w:val="26"/>
        </w:rPr>
        <w:t xml:space="preserve">Assim, tendo ocorrido a nomeação do advogado dativo (mov. </w:t>
      </w:r>
      <w:proofErr w:type="spellStart"/>
      <w:r w:rsidR="00BB1BCD" w:rsidRPr="00BB1BCD">
        <w:rPr>
          <w:rFonts w:ascii="Arial" w:hAnsi="Arial" w:cs="Arial"/>
          <w:b/>
          <w:color w:val="EE0000"/>
          <w:sz w:val="26"/>
          <w:szCs w:val="26"/>
        </w:rPr>
        <w:t>xxx</w:t>
      </w:r>
      <w:proofErr w:type="spellEnd"/>
      <w:r w:rsidRPr="005130CA">
        <w:rPr>
          <w:rFonts w:ascii="Arial" w:hAnsi="Arial" w:cs="Arial"/>
          <w:b/>
          <w:sz w:val="26"/>
          <w:szCs w:val="26"/>
        </w:rPr>
        <w:t>, item I), a remuneração do Defensor ao final do processo decorre da norma cogente citada acima. De fato, se houve nomeação é porque a presença do advogado era necessária; por outro lado, se a Defesa técnica não era necessária, não deveria ter ocorrido a nomeação</w:t>
      </w:r>
      <w:r>
        <w:rPr>
          <w:rFonts w:ascii="Arial" w:hAnsi="Arial" w:cs="Arial"/>
          <w:sz w:val="26"/>
          <w:szCs w:val="26"/>
        </w:rPr>
        <w:t xml:space="preserve">. </w:t>
      </w:r>
    </w:p>
    <w:p w14:paraId="1920A0CF" w14:textId="77777777" w:rsidR="008861BD" w:rsidRDefault="008861BD" w:rsidP="008861BD">
      <w:pPr>
        <w:spacing w:line="360" w:lineRule="auto"/>
        <w:ind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No entendimento jurisprudencial, precedentes diversos do Superior Tribunal de Justiça sobre a obrigatoriedade de arbitramento de honorários ao Defensor Dativo, </w:t>
      </w:r>
      <w:r>
        <w:rPr>
          <w:rFonts w:ascii="Arial" w:hAnsi="Arial" w:cs="Arial"/>
          <w:i/>
          <w:color w:val="000000" w:themeColor="text1"/>
          <w:sz w:val="26"/>
          <w:szCs w:val="26"/>
        </w:rPr>
        <w:t>exempli gratia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</w:p>
    <w:p w14:paraId="13C5E62A" w14:textId="77777777" w:rsidR="008861BD" w:rsidRDefault="008861BD" w:rsidP="008861BD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7E3F8EC5" w14:textId="77777777" w:rsidR="006532B4" w:rsidRDefault="008861BD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STJ</w:t>
      </w:r>
    </w:p>
    <w:p w14:paraId="4FF7109B" w14:textId="77777777" w:rsidR="00526878" w:rsidRDefault="00526878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Terceira Seção</w:t>
      </w:r>
    </w:p>
    <w:p w14:paraId="4767A2B1" w14:textId="07F15283" w:rsidR="006532B4" w:rsidRDefault="006532B4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 xml:space="preserve">Tema Repetitivo </w:t>
      </w:r>
      <w:r w:rsidR="00526878">
        <w:rPr>
          <w:rFonts w:ascii="Arial" w:hAnsi="Arial" w:cs="Arial"/>
          <w:b/>
          <w:color w:val="000000" w:themeColor="text1"/>
        </w:rPr>
        <w:t>984</w:t>
      </w:r>
    </w:p>
    <w:p w14:paraId="4286DE04" w14:textId="6C7B75CA" w:rsidR="006532B4" w:rsidRDefault="004E3739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Tese firmada:</w:t>
      </w:r>
    </w:p>
    <w:p w14:paraId="5E445F01" w14:textId="1A417933" w:rsidR="006532B4" w:rsidRDefault="004E3739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 w:rsidRPr="004E3739">
        <w:rPr>
          <w:rFonts w:ascii="Arial" w:hAnsi="Arial" w:cs="Arial"/>
          <w:i/>
          <w:color w:val="000000" w:themeColor="text1"/>
        </w:rPr>
        <w:t>1ª) As tabelas de honorários elaboradas unilateralmente pelos Conselhos Seccionais da OAB não vinculam o magistrado no momento de arbitrar o valor da remuneração a que faz jus o defensor dativo que atua no processo penal; servem como referência para o estabelecimento de valor que seja justo e que reflita o labor despendido pelo advogado;</w:t>
      </w:r>
      <w:r w:rsidRPr="004E3739">
        <w:rPr>
          <w:rFonts w:ascii="Arial" w:hAnsi="Arial" w:cs="Arial"/>
          <w:i/>
          <w:color w:val="000000" w:themeColor="text1"/>
        </w:rPr>
        <w:br/>
        <w:t>2ª) Nas hipóteses em que o juiz da causa considerar desproporcional a quantia indicada na tabela da OAB em relação aos esforços despendidos pelo defensor dativo para os atos processuais praticados, poderá, motivadamente, arbitrar outro valor;</w:t>
      </w:r>
      <w:r w:rsidRPr="004E3739">
        <w:rPr>
          <w:rFonts w:ascii="Arial" w:hAnsi="Arial" w:cs="Arial"/>
          <w:i/>
          <w:color w:val="000000" w:themeColor="text1"/>
        </w:rPr>
        <w:br/>
        <w:t>3ª) São, porém, vinculativas, quanto aos valores estabelecidos para os atos praticados por defensor dativo, as tabelas produzidas mediante acordo entre o Poder Público, a Defensoria Pública e a seccional da OAB.</w:t>
      </w:r>
      <w:r w:rsidRPr="004E3739">
        <w:rPr>
          <w:rFonts w:ascii="Arial" w:hAnsi="Arial" w:cs="Arial"/>
          <w:i/>
          <w:color w:val="000000" w:themeColor="text1"/>
        </w:rPr>
        <w:br/>
        <w:t xml:space="preserve">4ª) Dado o disposto no art. 105, parágrafo único, II, da Constituição da República, possui caráter vinculante a Tabela de Honorários da Justiça Federal, assim como tabelas similares instituídas, eventualmente, pelos órgãos competentes das Justiças dos Estados e do Distrito Federal, na forma dos </w:t>
      </w:r>
      <w:proofErr w:type="spellStart"/>
      <w:r w:rsidRPr="004E3739">
        <w:rPr>
          <w:rFonts w:ascii="Arial" w:hAnsi="Arial" w:cs="Arial"/>
          <w:i/>
          <w:color w:val="000000" w:themeColor="text1"/>
        </w:rPr>
        <w:t>arts</w:t>
      </w:r>
      <w:proofErr w:type="spellEnd"/>
      <w:r w:rsidRPr="004E3739">
        <w:rPr>
          <w:rFonts w:ascii="Arial" w:hAnsi="Arial" w:cs="Arial"/>
          <w:i/>
          <w:color w:val="000000" w:themeColor="text1"/>
        </w:rPr>
        <w:t xml:space="preserve"> 96, I, e 125, § 1º, parte final, da Constituição da República.</w:t>
      </w:r>
    </w:p>
    <w:p w14:paraId="2A1B9F3E" w14:textId="4B001C24" w:rsidR="008861BD" w:rsidRDefault="008861BD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</w:t>
      </w:r>
    </w:p>
    <w:p w14:paraId="7F642889" w14:textId="58F0A053" w:rsidR="004E3739" w:rsidRPr="004E3739" w:rsidRDefault="004E3739" w:rsidP="008861BD">
      <w:pPr>
        <w:spacing w:line="360" w:lineRule="auto"/>
        <w:ind w:left="2268" w:firstLine="1134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E </w:t>
      </w:r>
      <w:r w:rsidRPr="004E3739">
        <w:rPr>
          <w:rFonts w:ascii="Arial" w:hAnsi="Arial" w:cs="Arial"/>
          <w:bCs/>
          <w:color w:val="000000" w:themeColor="text1"/>
        </w:rPr>
        <w:t xml:space="preserve">ainda: </w:t>
      </w:r>
    </w:p>
    <w:p w14:paraId="3446819D" w14:textId="77777777" w:rsidR="004E3739" w:rsidRDefault="004E3739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</w:p>
    <w:p w14:paraId="037227EB" w14:textId="2ADA0D3B" w:rsidR="006532B4" w:rsidRDefault="006532B4" w:rsidP="008861BD">
      <w:pPr>
        <w:spacing w:line="360" w:lineRule="auto"/>
        <w:ind w:left="2268" w:firstLine="1134"/>
        <w:jc w:val="both"/>
        <w:rPr>
          <w:color w:val="000000"/>
        </w:rPr>
      </w:pPr>
      <w:r>
        <w:rPr>
          <w:rFonts w:ascii="Arial" w:hAnsi="Arial" w:cs="Arial"/>
          <w:b/>
          <w:color w:val="000000" w:themeColor="text1"/>
        </w:rPr>
        <w:t>STJ</w:t>
      </w:r>
    </w:p>
    <w:p w14:paraId="00B8DA08" w14:textId="77777777" w:rsidR="008861BD" w:rsidRDefault="008861BD" w:rsidP="008861BD">
      <w:pPr>
        <w:spacing w:after="120"/>
        <w:ind w:left="2268"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5ª Turma </w:t>
      </w:r>
    </w:p>
    <w:p w14:paraId="4E91037A" w14:textId="77777777" w:rsidR="008861BD" w:rsidRDefault="008861BD" w:rsidP="008861BD">
      <w:pPr>
        <w:spacing w:after="120"/>
        <w:ind w:left="2268"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 xml:space="preserve">Acórdão </w:t>
      </w:r>
      <w:proofErr w:type="spellStart"/>
      <w:r>
        <w:rPr>
          <w:rFonts w:ascii="Arial" w:hAnsi="Arial" w:cs="Arial"/>
          <w:color w:val="000000" w:themeColor="text1"/>
        </w:rPr>
        <w:t>Agrg</w:t>
      </w:r>
      <w:proofErr w:type="spellEnd"/>
      <w:r>
        <w:rPr>
          <w:rFonts w:ascii="Arial" w:hAnsi="Arial" w:cs="Arial"/>
          <w:color w:val="000000" w:themeColor="text1"/>
        </w:rPr>
        <w:t xml:space="preserve"> no </w:t>
      </w:r>
      <w:proofErr w:type="spellStart"/>
      <w:r>
        <w:rPr>
          <w:rFonts w:ascii="Arial" w:hAnsi="Arial" w:cs="Arial"/>
          <w:color w:val="000000" w:themeColor="text1"/>
        </w:rPr>
        <w:t>Resp</w:t>
      </w:r>
      <w:proofErr w:type="spellEnd"/>
      <w:r>
        <w:rPr>
          <w:rFonts w:ascii="Arial" w:hAnsi="Arial" w:cs="Arial"/>
          <w:color w:val="000000" w:themeColor="text1"/>
        </w:rPr>
        <w:t xml:space="preserve"> 1544009 / </w:t>
      </w:r>
      <w:proofErr w:type="spellStart"/>
      <w:r>
        <w:rPr>
          <w:rFonts w:ascii="Arial" w:hAnsi="Arial" w:cs="Arial"/>
          <w:color w:val="000000" w:themeColor="text1"/>
        </w:rPr>
        <w:t>Sc</w:t>
      </w:r>
      <w:proofErr w:type="spellEnd"/>
      <w:r>
        <w:rPr>
          <w:rFonts w:ascii="Arial" w:hAnsi="Arial" w:cs="Arial"/>
          <w:color w:val="000000" w:themeColor="text1"/>
        </w:rPr>
        <w:t>,</w:t>
      </w:r>
    </w:p>
    <w:p w14:paraId="2C3F3D5C" w14:textId="77777777" w:rsidR="008861BD" w:rsidRDefault="008861BD" w:rsidP="008861BD">
      <w:pPr>
        <w:spacing w:after="120"/>
        <w:ind w:left="2268"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Relator(a): Min. Gurgel de Faria</w:t>
      </w:r>
    </w:p>
    <w:p w14:paraId="1121AFCB" w14:textId="77777777" w:rsidR="008861BD" w:rsidRDefault="008861BD" w:rsidP="008861BD">
      <w:pPr>
        <w:spacing w:after="120"/>
        <w:ind w:left="2268"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Data de julgamento: 02/02/2016</w:t>
      </w:r>
    </w:p>
    <w:p w14:paraId="5461A928" w14:textId="77777777" w:rsidR="008861BD" w:rsidRDefault="008861BD" w:rsidP="008861BD">
      <w:pPr>
        <w:spacing w:after="120"/>
        <w:ind w:left="2268" w:firstLine="1134"/>
        <w:jc w:val="both"/>
        <w:rPr>
          <w:color w:val="000000"/>
        </w:rPr>
      </w:pPr>
      <w:r>
        <w:rPr>
          <w:rFonts w:ascii="Arial" w:hAnsi="Arial" w:cs="Arial"/>
          <w:color w:val="000000" w:themeColor="text1"/>
        </w:rPr>
        <w:t>Data de publicação: 23/02/2016.</w:t>
      </w:r>
    </w:p>
    <w:p w14:paraId="41A33607" w14:textId="77777777" w:rsidR="008861BD" w:rsidRDefault="008861BD" w:rsidP="008861BD">
      <w:pPr>
        <w:spacing w:after="120"/>
        <w:ind w:left="2268" w:firstLine="1134"/>
        <w:jc w:val="both"/>
        <w:rPr>
          <w:rFonts w:ascii="Arial" w:hAnsi="Arial" w:cs="Arial"/>
          <w:color w:val="000000" w:themeColor="text1"/>
        </w:rPr>
      </w:pPr>
    </w:p>
    <w:p w14:paraId="2D5C83DC" w14:textId="77777777" w:rsidR="008861BD" w:rsidRDefault="008861BD" w:rsidP="008861BD">
      <w:pPr>
        <w:spacing w:line="360" w:lineRule="auto"/>
        <w:ind w:left="2268" w:firstLine="1134"/>
        <w:jc w:val="both"/>
        <w:rPr>
          <w:color w:val="000000"/>
        </w:rPr>
      </w:pPr>
      <w:r>
        <w:rPr>
          <w:rFonts w:ascii="Arial" w:hAnsi="Arial" w:cs="Arial"/>
          <w:b/>
          <w:i/>
          <w:color w:val="000000" w:themeColor="text1"/>
        </w:rPr>
        <w:t xml:space="preserve">PROCESSUAL PENAL. DEFENSOR DATIVO. HONORÁRIOS ADVOCATÍCIOS. TABELA DA OAB. </w:t>
      </w:r>
      <w:r>
        <w:rPr>
          <w:rFonts w:ascii="Arial" w:hAnsi="Arial" w:cs="Arial"/>
          <w:b/>
          <w:i/>
          <w:color w:val="000000" w:themeColor="text1"/>
        </w:rPr>
        <w:lastRenderedPageBreak/>
        <w:t>OBSERVÂNCIA DOS VALORES MÍNIMOS.</w:t>
      </w:r>
    </w:p>
    <w:p w14:paraId="513B562E" w14:textId="77777777" w:rsidR="008861BD" w:rsidRDefault="008861BD" w:rsidP="008861BD">
      <w:pPr>
        <w:spacing w:line="360" w:lineRule="auto"/>
        <w:ind w:left="2268" w:firstLine="1134"/>
        <w:jc w:val="both"/>
        <w:rPr>
          <w:rFonts w:ascii="Arial" w:hAnsi="Arial" w:cs="Arial"/>
          <w:i/>
          <w:color w:val="000000" w:themeColor="text1"/>
        </w:rPr>
      </w:pPr>
    </w:p>
    <w:p w14:paraId="6C65F295" w14:textId="77777777" w:rsidR="008861BD" w:rsidRDefault="008861BD" w:rsidP="008861BD">
      <w:pPr>
        <w:spacing w:line="360" w:lineRule="auto"/>
        <w:ind w:left="2268" w:firstLine="1134"/>
        <w:jc w:val="both"/>
        <w:rPr>
          <w:color w:val="000000"/>
        </w:rPr>
      </w:pPr>
      <w:r>
        <w:rPr>
          <w:rFonts w:ascii="Arial" w:hAnsi="Arial" w:cs="Arial"/>
          <w:i/>
          <w:color w:val="000000" w:themeColor="text1"/>
        </w:rPr>
        <w:t>1. Conforme a jurisprudência do Superior Tribunal de Justiça, o arbitramento judicial dos honorários advocatícios ao defensor dativo, nomeado para oficiar em processos criminais, deve observar os valores mínimos estabelecidos na tabela da OAB, considerados o grau de zelo do profissional e a dificuldade da causa como parâmetros norteadores do quantum.</w:t>
      </w:r>
    </w:p>
    <w:p w14:paraId="1E183019" w14:textId="77777777" w:rsidR="008861BD" w:rsidRDefault="008861BD" w:rsidP="008861BD">
      <w:pPr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7C27100D" w14:textId="77777777" w:rsidR="008861BD" w:rsidRDefault="008861BD" w:rsidP="008861BD">
      <w:pPr>
        <w:spacing w:line="360" w:lineRule="auto"/>
        <w:ind w:firstLine="1134"/>
        <w:jc w:val="both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  <w:t xml:space="preserve">Ainda no TJ/PR, o seguinte entendimento jurisprudencial sobre o caso de arbitramento mesmo com petição única: </w:t>
      </w:r>
    </w:p>
    <w:p w14:paraId="65E0F40E" w14:textId="77777777" w:rsidR="008861BD" w:rsidRDefault="008861BD" w:rsidP="008861BD">
      <w:pPr>
        <w:spacing w:line="360" w:lineRule="auto"/>
        <w:ind w:left="2268" w:firstLine="1134"/>
        <w:jc w:val="both"/>
        <w:rPr>
          <w:rFonts w:ascii="Arial" w:hAnsi="Arial" w:cs="Arial"/>
          <w:b/>
          <w:color w:val="000000" w:themeColor="text1"/>
        </w:rPr>
      </w:pPr>
    </w:p>
    <w:p w14:paraId="01FFA072" w14:textId="77777777" w:rsidR="008861BD" w:rsidRDefault="008861BD" w:rsidP="008861BD">
      <w:pPr>
        <w:spacing w:line="360" w:lineRule="auto"/>
        <w:ind w:left="226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ab/>
        <w:t>TJ/PR</w:t>
      </w:r>
    </w:p>
    <w:p w14:paraId="46BAEECF" w14:textId="77777777" w:rsidR="008861BD" w:rsidRDefault="008861BD" w:rsidP="008861BD">
      <w:pPr>
        <w:spacing w:after="120"/>
        <w:ind w:left="2268"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12ª Câmara Cível</w:t>
      </w:r>
    </w:p>
    <w:p w14:paraId="0C685A4A" w14:textId="77777777" w:rsidR="008861BD" w:rsidRDefault="008861BD" w:rsidP="008861BD">
      <w:pPr>
        <w:spacing w:after="120"/>
        <w:ind w:left="2268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Recurso: 0001912-92.2021.8.16.0028/2 </w:t>
      </w:r>
    </w:p>
    <w:p w14:paraId="1A5C8042" w14:textId="77777777" w:rsidR="008861BD" w:rsidRDefault="008861BD" w:rsidP="008861BD">
      <w:pPr>
        <w:spacing w:after="120"/>
        <w:ind w:left="2268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Des.: Rosana Amara </w:t>
      </w:r>
      <w:proofErr w:type="spellStart"/>
      <w:r>
        <w:rPr>
          <w:rFonts w:ascii="Arial" w:hAnsi="Arial" w:cs="Arial"/>
        </w:rPr>
        <w:t>Girarfi</w:t>
      </w:r>
      <w:proofErr w:type="spellEnd"/>
      <w:r>
        <w:rPr>
          <w:rFonts w:ascii="Arial" w:hAnsi="Arial" w:cs="Arial"/>
        </w:rPr>
        <w:t xml:space="preserve"> Fachin</w:t>
      </w:r>
    </w:p>
    <w:p w14:paraId="69B1205E" w14:textId="77777777" w:rsidR="008861BD" w:rsidRDefault="008861BD" w:rsidP="008861BD">
      <w:pPr>
        <w:spacing w:after="120"/>
        <w:ind w:left="2268"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Data de julgamento: 16/12/2021</w:t>
      </w:r>
    </w:p>
    <w:p w14:paraId="4B339F6C" w14:textId="77777777" w:rsidR="008861BD" w:rsidRDefault="008861BD" w:rsidP="008861BD">
      <w:pPr>
        <w:spacing w:line="360" w:lineRule="auto"/>
        <w:ind w:firstLine="1134"/>
        <w:jc w:val="both"/>
        <w:rPr>
          <w:color w:val="000000"/>
        </w:rPr>
      </w:pPr>
    </w:p>
    <w:p w14:paraId="1677D3F2" w14:textId="77777777" w:rsidR="008861BD" w:rsidRDefault="008861BD" w:rsidP="008861BD">
      <w:pPr>
        <w:spacing w:line="360" w:lineRule="auto"/>
        <w:ind w:left="2268" w:firstLine="624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EMBARGOS DE DECLARAÇÃO EM APELAÇÃO CÍVEL – AÇÃO DE DESTITUIÇÃO DO PODER FAMILIAR – ACÓRDÃO OMISSO – VÍCIO A SER SANADO – HONORÁRIOS DO DEFENSOR DATIVO - OBSERVÂNCIA DA TABELA ANEXA À RESOLUÇÃO CONJUNTA Nº 15/2019 PGE/SEFA – ARBITRAMENTO EM RAZÃO DA ATUAÇÃO EM SEGUNDO GRAU – ACOLHIMENTO - ITEM 3.4 – FIXAÇÃO NO VALOR MÁXIMO – EMBARGOS DE DECLARAÇÃO ACOLHIDOS COM EFEITOS INTEGRATIVOS </w:t>
      </w:r>
    </w:p>
    <w:p w14:paraId="0E0A9900" w14:textId="77777777" w:rsidR="008861BD" w:rsidRDefault="008861BD" w:rsidP="008861BD">
      <w:pPr>
        <w:spacing w:line="360" w:lineRule="auto"/>
        <w:ind w:left="2268" w:firstLine="624"/>
        <w:jc w:val="both"/>
        <w:rPr>
          <w:rFonts w:ascii="Arial" w:hAnsi="Arial"/>
          <w:color w:val="000000"/>
        </w:rPr>
      </w:pPr>
    </w:p>
    <w:p w14:paraId="479C3D50" w14:textId="77777777" w:rsidR="008861BD" w:rsidRDefault="008861BD" w:rsidP="008861BD">
      <w:pPr>
        <w:spacing w:line="360" w:lineRule="auto"/>
        <w:ind w:left="2268" w:firstLine="624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“Do exposto, divirjo do voto do Relator originário, para o fim de atribuir efeitos integrativos aos Embargos de Declaração acolhidos, no que fui acompanhada pelo Juiz Substituto em Segundo Grau Eduardo </w:t>
      </w:r>
      <w:proofErr w:type="spellStart"/>
      <w:r>
        <w:rPr>
          <w:rFonts w:ascii="Arial" w:hAnsi="Arial"/>
          <w:color w:val="000000"/>
        </w:rPr>
        <w:t>Novacki</w:t>
      </w:r>
      <w:proofErr w:type="spellEnd"/>
      <w:r>
        <w:rPr>
          <w:rFonts w:ascii="Arial" w:hAnsi="Arial"/>
          <w:color w:val="000000"/>
        </w:rPr>
        <w:t xml:space="preserve">, para fixar honorários ao defensor dativo em razão da interposição do recurso de apelação, em R$ 500,00 (quinhentos reais), conforme previsão do item 3.4 da Tabela Anexa à Resolução </w:t>
      </w:r>
      <w:r>
        <w:rPr>
          <w:rFonts w:ascii="Arial" w:hAnsi="Arial"/>
          <w:color w:val="000000"/>
        </w:rPr>
        <w:lastRenderedPageBreak/>
        <w:t>Conjunta da PGE/SEFA nº 15/2019 para o caso de “petição única – recurso perante Tribunais” no âmbito do direito da infância e juventude.”</w:t>
      </w:r>
    </w:p>
    <w:p w14:paraId="4FE8F543" w14:textId="77777777" w:rsidR="00606828" w:rsidRDefault="00606828">
      <w:pPr>
        <w:spacing w:line="360" w:lineRule="auto"/>
        <w:ind w:left="2268" w:firstLine="1134"/>
        <w:jc w:val="both"/>
        <w:rPr>
          <w:rFonts w:ascii="Arial" w:eastAsia="Arial" w:hAnsi="Arial" w:cs="Arial"/>
          <w:b/>
          <w:color w:val="000000"/>
        </w:rPr>
      </w:pPr>
    </w:p>
    <w:p w14:paraId="3715E4F4" w14:textId="77777777" w:rsidR="00606828" w:rsidRDefault="00064CD5">
      <w:pPr>
        <w:spacing w:line="360" w:lineRule="auto"/>
        <w:ind w:left="226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5DFD47C5" w14:textId="77777777" w:rsidR="00AE4717" w:rsidRDefault="00AE4717">
      <w:pPr>
        <w:spacing w:line="360" w:lineRule="auto"/>
        <w:ind w:left="2268"/>
        <w:jc w:val="both"/>
        <w:rPr>
          <w:rFonts w:ascii="Arial" w:eastAsia="Arial" w:hAnsi="Arial" w:cs="Arial"/>
          <w:b/>
          <w:color w:val="000000"/>
        </w:rPr>
      </w:pPr>
    </w:p>
    <w:p w14:paraId="58B73651" w14:textId="77777777" w:rsidR="00AE4717" w:rsidRDefault="00AE4717">
      <w:pPr>
        <w:spacing w:line="360" w:lineRule="auto"/>
        <w:ind w:left="2268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7ABB4E5" w14:textId="77777777" w:rsidR="00606828" w:rsidRDefault="00064CD5">
      <w:pPr>
        <w:tabs>
          <w:tab w:val="left" w:pos="3420"/>
        </w:tabs>
        <w:spacing w:line="360" w:lineRule="auto"/>
        <w:ind w:firstLine="1134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VI </w:t>
      </w:r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–  DO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REQUERIMENTO DE REFORMA DA SENTENÇA. </w:t>
      </w:r>
    </w:p>
    <w:p w14:paraId="61476525" w14:textId="77777777" w:rsidR="00606828" w:rsidRDefault="00606828">
      <w:pPr>
        <w:tabs>
          <w:tab w:val="left" w:pos="3420"/>
        </w:tabs>
        <w:spacing w:line="360" w:lineRule="auto"/>
        <w:ind w:firstLine="1134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B001FE0" w14:textId="77777777" w:rsidR="00606828" w:rsidRDefault="00064CD5">
      <w:pPr>
        <w:tabs>
          <w:tab w:val="left" w:pos="3420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proofErr w:type="spellStart"/>
      <w:r>
        <w:rPr>
          <w:rFonts w:ascii="Arial" w:eastAsia="Arial" w:hAnsi="Arial" w:cs="Arial"/>
          <w:i/>
          <w:color w:val="000000"/>
          <w:sz w:val="26"/>
          <w:szCs w:val="26"/>
        </w:rPr>
        <w:t>Ex</w:t>
      </w:r>
      <w:proofErr w:type="spellEnd"/>
      <w:r>
        <w:rPr>
          <w:rFonts w:ascii="Arial" w:eastAsia="Arial" w:hAnsi="Arial" w:cs="Arial"/>
          <w:i/>
          <w:color w:val="000000"/>
          <w:sz w:val="26"/>
          <w:szCs w:val="26"/>
        </w:rPr>
        <w:t xml:space="preserve"> positis</w:t>
      </w:r>
      <w:r w:rsidR="008861BD">
        <w:rPr>
          <w:rFonts w:ascii="Arial" w:eastAsia="Arial" w:hAnsi="Arial" w:cs="Arial"/>
          <w:color w:val="000000"/>
          <w:sz w:val="26"/>
          <w:szCs w:val="26"/>
        </w:rPr>
        <w:t>, a Apelante requer</w:t>
      </w:r>
      <w:r>
        <w:rPr>
          <w:rFonts w:ascii="Arial" w:eastAsia="Arial" w:hAnsi="Arial" w:cs="Arial"/>
          <w:color w:val="000000"/>
          <w:sz w:val="26"/>
          <w:szCs w:val="26"/>
        </w:rPr>
        <w:t>:</w:t>
      </w:r>
    </w:p>
    <w:p w14:paraId="1ED38947" w14:textId="77777777" w:rsidR="00606828" w:rsidRDefault="00064CD5">
      <w:pPr>
        <w:tabs>
          <w:tab w:val="left" w:pos="3420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  <w:r>
        <w:rPr>
          <w:rFonts w:ascii="Arial" w:eastAsia="Arial" w:hAnsi="Arial" w:cs="Arial"/>
          <w:color w:val="000000"/>
          <w:sz w:val="26"/>
          <w:szCs w:val="26"/>
        </w:rPr>
        <w:tab/>
      </w:r>
    </w:p>
    <w:p w14:paraId="34462569" w14:textId="36A6A81E" w:rsidR="00606828" w:rsidRPr="005130CA" w:rsidRDefault="00064CD5">
      <w:pPr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Arial" w:eastAsia="Arial" w:hAnsi="Arial" w:cs="Arial"/>
          <w:b/>
          <w:color w:val="222222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Seja recebido e conhecido o presente recurso, tendo em vista o preenchimento dos pressupostos de admissibilidade, com fulcro nos artigos 1.009 </w:t>
      </w:r>
      <w:r w:rsidR="00186E85">
        <w:rPr>
          <w:rFonts w:ascii="Arial" w:eastAsia="Arial" w:hAnsi="Arial" w:cs="Arial"/>
          <w:sz w:val="26"/>
          <w:szCs w:val="26"/>
        </w:rPr>
        <w:t xml:space="preserve">e seguintes </w:t>
      </w:r>
      <w:r>
        <w:rPr>
          <w:rFonts w:ascii="Arial" w:eastAsia="Arial" w:hAnsi="Arial" w:cs="Arial"/>
          <w:sz w:val="26"/>
          <w:szCs w:val="26"/>
        </w:rPr>
        <w:t>do CPC;</w:t>
      </w:r>
    </w:p>
    <w:p w14:paraId="021604F7" w14:textId="77777777" w:rsidR="005130CA" w:rsidRDefault="005130CA" w:rsidP="005130CA">
      <w:pPr>
        <w:tabs>
          <w:tab w:val="left" w:pos="1134"/>
        </w:tabs>
        <w:spacing w:line="360" w:lineRule="auto"/>
        <w:ind w:left="1440"/>
        <w:jc w:val="both"/>
        <w:rPr>
          <w:rFonts w:ascii="Arial" w:eastAsia="Arial" w:hAnsi="Arial" w:cs="Arial"/>
          <w:b/>
          <w:color w:val="222222"/>
          <w:sz w:val="26"/>
          <w:szCs w:val="26"/>
        </w:rPr>
      </w:pPr>
    </w:p>
    <w:p w14:paraId="21C926B6" w14:textId="77777777" w:rsidR="000507BE" w:rsidRPr="005130CA" w:rsidRDefault="00064CD5">
      <w:pPr>
        <w:widowControl/>
        <w:numPr>
          <w:ilvl w:val="0"/>
          <w:numId w:val="1"/>
        </w:numPr>
        <w:tabs>
          <w:tab w:val="left" w:pos="1134"/>
        </w:tabs>
        <w:spacing w:line="360" w:lineRule="auto"/>
        <w:jc w:val="both"/>
        <w:rPr>
          <w:rFonts w:ascii="Arial" w:eastAsia="Arial" w:hAnsi="Arial" w:cs="Arial"/>
          <w:b/>
          <w:color w:val="222222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Requer</w:t>
      </w:r>
      <w:r w:rsidR="00FA4F90"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</w:rPr>
        <w:t xml:space="preserve"> ainda</w:t>
      </w:r>
      <w:r w:rsidR="005130CA">
        <w:rPr>
          <w:rFonts w:ascii="Arial" w:eastAsia="Arial" w:hAnsi="Arial" w:cs="Arial"/>
          <w:sz w:val="26"/>
          <w:szCs w:val="26"/>
        </w:rPr>
        <w:t>,</w:t>
      </w:r>
      <w:r>
        <w:rPr>
          <w:rFonts w:ascii="Arial" w:eastAsia="Arial" w:hAnsi="Arial" w:cs="Arial"/>
          <w:sz w:val="26"/>
          <w:szCs w:val="26"/>
        </w:rPr>
        <w:t xml:space="preserve"> a V. Exas., com fulcro nos artigos 5º e seguintes da Lei estadual nº 18.664/2018, que </w:t>
      </w:r>
      <w:r w:rsidR="00FA4F90">
        <w:rPr>
          <w:rFonts w:ascii="Arial" w:eastAsia="Arial" w:hAnsi="Arial" w:cs="Arial"/>
          <w:sz w:val="26"/>
          <w:szCs w:val="26"/>
        </w:rPr>
        <w:t>reformem a sentença para determinar</w:t>
      </w:r>
      <w:r>
        <w:rPr>
          <w:rFonts w:ascii="Arial" w:eastAsia="Arial" w:hAnsi="Arial" w:cs="Arial"/>
          <w:sz w:val="26"/>
          <w:szCs w:val="26"/>
        </w:rPr>
        <w:t xml:space="preserve"> ao Estado do Paraná o pagamento dos honorários advocatícios devidos pela</w:t>
      </w:r>
      <w:r w:rsidR="00FA4F90">
        <w:rPr>
          <w:rFonts w:ascii="Arial" w:eastAsia="Arial" w:hAnsi="Arial" w:cs="Arial"/>
          <w:sz w:val="26"/>
          <w:szCs w:val="26"/>
        </w:rPr>
        <w:t xml:space="preserve"> atuação do Defensor dativo no feito, considerando-se o</w:t>
      </w:r>
      <w:r w:rsidR="000507BE">
        <w:rPr>
          <w:rFonts w:ascii="Arial" w:eastAsia="Arial" w:hAnsi="Arial" w:cs="Arial"/>
          <w:sz w:val="26"/>
          <w:szCs w:val="26"/>
        </w:rPr>
        <w:t>s</w:t>
      </w:r>
      <w:r w:rsidR="00FA4F90">
        <w:rPr>
          <w:rFonts w:ascii="Arial" w:eastAsia="Arial" w:hAnsi="Arial" w:cs="Arial"/>
          <w:sz w:val="26"/>
          <w:szCs w:val="26"/>
        </w:rPr>
        <w:t xml:space="preserve"> valor</w:t>
      </w:r>
      <w:r w:rsidR="000507BE">
        <w:rPr>
          <w:rFonts w:ascii="Arial" w:eastAsia="Arial" w:hAnsi="Arial" w:cs="Arial"/>
          <w:sz w:val="26"/>
          <w:szCs w:val="26"/>
        </w:rPr>
        <w:t>es</w:t>
      </w:r>
      <w:r w:rsidR="00FA4F90">
        <w:rPr>
          <w:rFonts w:ascii="Arial" w:eastAsia="Arial" w:hAnsi="Arial" w:cs="Arial"/>
          <w:sz w:val="26"/>
          <w:szCs w:val="26"/>
        </w:rPr>
        <w:t xml:space="preserve"> previsto</w:t>
      </w:r>
      <w:r w:rsidR="000507BE">
        <w:rPr>
          <w:rFonts w:ascii="Arial" w:eastAsia="Arial" w:hAnsi="Arial" w:cs="Arial"/>
          <w:sz w:val="26"/>
          <w:szCs w:val="26"/>
        </w:rPr>
        <w:t>s</w:t>
      </w:r>
      <w:r w:rsidR="00FA4F90">
        <w:rPr>
          <w:rFonts w:ascii="Arial" w:eastAsia="Arial" w:hAnsi="Arial" w:cs="Arial"/>
          <w:sz w:val="26"/>
          <w:szCs w:val="26"/>
        </w:rPr>
        <w:t xml:space="preserve"> </w:t>
      </w:r>
      <w:r w:rsidR="000507BE">
        <w:rPr>
          <w:rFonts w:ascii="Arial" w:eastAsia="Arial" w:hAnsi="Arial" w:cs="Arial"/>
          <w:sz w:val="26"/>
          <w:szCs w:val="26"/>
        </w:rPr>
        <w:t>na tabela conjunta elaborada pela SEFA/PGE PR;</w:t>
      </w:r>
    </w:p>
    <w:p w14:paraId="3CDEE9B0" w14:textId="77777777" w:rsidR="005130CA" w:rsidRDefault="005130CA" w:rsidP="005130CA">
      <w:pPr>
        <w:pStyle w:val="ListParagraph"/>
        <w:rPr>
          <w:rFonts w:ascii="Arial" w:eastAsia="Arial" w:hAnsi="Arial" w:cs="Arial"/>
          <w:b/>
          <w:color w:val="222222"/>
          <w:sz w:val="26"/>
          <w:szCs w:val="26"/>
        </w:rPr>
      </w:pPr>
    </w:p>
    <w:p w14:paraId="4FD16A43" w14:textId="77777777" w:rsidR="00606828" w:rsidRDefault="00606828">
      <w:pPr>
        <w:tabs>
          <w:tab w:val="left" w:pos="1134"/>
        </w:tabs>
        <w:spacing w:after="200"/>
        <w:ind w:left="720"/>
        <w:jc w:val="both"/>
        <w:rPr>
          <w:rFonts w:ascii="Arial" w:eastAsia="Arial" w:hAnsi="Arial" w:cs="Arial"/>
          <w:sz w:val="26"/>
          <w:szCs w:val="26"/>
        </w:rPr>
      </w:pPr>
    </w:p>
    <w:p w14:paraId="2FE66116" w14:textId="295D5ACE" w:rsidR="00606828" w:rsidRDefault="00064CD5">
      <w:pPr>
        <w:spacing w:after="200"/>
        <w:ind w:left="720"/>
        <w:jc w:val="center"/>
      </w:pPr>
      <w:r>
        <w:rPr>
          <w:rFonts w:ascii="Arial" w:eastAsia="Arial" w:hAnsi="Arial" w:cs="Arial"/>
          <w:sz w:val="26"/>
          <w:szCs w:val="26"/>
        </w:rPr>
        <w:t>Termos em que, requer deferimento.</w:t>
      </w:r>
    </w:p>
    <w:p w14:paraId="34274D2E" w14:textId="66741536" w:rsidR="00606828" w:rsidRDefault="003742E4">
      <w:pPr>
        <w:spacing w:after="200"/>
        <w:ind w:left="720"/>
        <w:jc w:val="center"/>
      </w:pPr>
      <w:r w:rsidRPr="003742E4">
        <w:rPr>
          <w:rFonts w:ascii="Arial" w:eastAsia="Arial" w:hAnsi="Arial" w:cs="Arial"/>
          <w:color w:val="EE0000"/>
          <w:sz w:val="26"/>
          <w:szCs w:val="26"/>
        </w:rPr>
        <w:t>Cidade</w:t>
      </w:r>
      <w:r w:rsidR="00064CD5" w:rsidRPr="003742E4">
        <w:rPr>
          <w:rFonts w:ascii="Arial" w:eastAsia="Arial" w:hAnsi="Arial" w:cs="Arial"/>
          <w:color w:val="EE0000"/>
          <w:sz w:val="26"/>
          <w:szCs w:val="26"/>
        </w:rPr>
        <w:t xml:space="preserve">, </w:t>
      </w:r>
      <w:r w:rsidR="00B55DEA">
        <w:rPr>
          <w:rFonts w:ascii="Arial" w:eastAsia="Arial" w:hAnsi="Arial" w:cs="Arial"/>
          <w:color w:val="EE0000"/>
          <w:sz w:val="26"/>
          <w:szCs w:val="26"/>
        </w:rPr>
        <w:t xml:space="preserve">data. </w:t>
      </w:r>
      <w:r w:rsidR="000507BE">
        <w:rPr>
          <w:rFonts w:ascii="Arial" w:eastAsia="Arial" w:hAnsi="Arial" w:cs="Arial"/>
          <w:sz w:val="26"/>
          <w:szCs w:val="26"/>
        </w:rPr>
        <w:t xml:space="preserve"> </w:t>
      </w:r>
    </w:p>
    <w:p w14:paraId="62C89C6D" w14:textId="77777777" w:rsidR="00606828" w:rsidRDefault="00606828">
      <w:pPr>
        <w:spacing w:line="360" w:lineRule="auto"/>
        <w:ind w:left="5040"/>
        <w:jc w:val="both"/>
        <w:rPr>
          <w:color w:val="C9211E"/>
        </w:rPr>
      </w:pPr>
    </w:p>
    <w:p w14:paraId="4525DCB6" w14:textId="77777777" w:rsidR="000507BE" w:rsidRDefault="000507BE">
      <w:pPr>
        <w:spacing w:line="360" w:lineRule="auto"/>
        <w:ind w:left="1440"/>
        <w:jc w:val="both"/>
        <w:rPr>
          <w:rFonts w:ascii="Arial" w:eastAsia="Arial" w:hAnsi="Arial" w:cs="Arial"/>
          <w:sz w:val="20"/>
          <w:szCs w:val="20"/>
        </w:rPr>
      </w:pPr>
    </w:p>
    <w:p w14:paraId="18BB583D" w14:textId="77777777" w:rsidR="00606828" w:rsidRDefault="00606828">
      <w:pPr>
        <w:tabs>
          <w:tab w:val="left" w:pos="2880"/>
        </w:tabs>
        <w:ind w:left="1440"/>
        <w:jc w:val="both"/>
        <w:rPr>
          <w:rFonts w:ascii="Arial" w:eastAsia="Arial" w:hAnsi="Arial" w:cs="Arial"/>
          <w:b/>
          <w:sz w:val="26"/>
          <w:szCs w:val="26"/>
        </w:rPr>
      </w:pPr>
    </w:p>
    <w:p w14:paraId="01BF0F30" w14:textId="77777777" w:rsidR="00927429" w:rsidRPr="00C9274D" w:rsidRDefault="00927429" w:rsidP="00927429">
      <w:pPr>
        <w:spacing w:line="360" w:lineRule="auto"/>
        <w:ind w:firstLine="1134"/>
        <w:jc w:val="both"/>
        <w:rPr>
          <w:rFonts w:ascii="Arial" w:eastAsia="Arial" w:hAnsi="Arial" w:cs="Arial"/>
          <w:b/>
          <w:color w:val="EE0000"/>
        </w:rPr>
      </w:pPr>
      <w:r w:rsidRPr="00C9274D">
        <w:rPr>
          <w:rFonts w:ascii="Arial" w:eastAsia="Arial" w:hAnsi="Arial" w:cs="Arial"/>
          <w:b/>
          <w:color w:val="EE0000"/>
        </w:rPr>
        <w:t>Nome do(a) advogado(a)</w:t>
      </w:r>
    </w:p>
    <w:p w14:paraId="19B64569" w14:textId="77777777" w:rsidR="00927429" w:rsidRPr="00C9274D" w:rsidRDefault="00927429" w:rsidP="00927429">
      <w:pPr>
        <w:spacing w:line="360" w:lineRule="auto"/>
        <w:ind w:firstLine="1134"/>
        <w:jc w:val="both"/>
        <w:rPr>
          <w:rFonts w:ascii="Arial" w:eastAsia="Arial" w:hAnsi="Arial" w:cs="Arial"/>
          <w:color w:val="EE0000"/>
        </w:rPr>
      </w:pPr>
      <w:r w:rsidRPr="00C9274D">
        <w:rPr>
          <w:rFonts w:ascii="Arial" w:eastAsia="Arial" w:hAnsi="Arial" w:cs="Arial"/>
          <w:b/>
          <w:color w:val="EE0000"/>
        </w:rPr>
        <w:t>OAB/PR XXXX</w:t>
      </w:r>
    </w:p>
    <w:p w14:paraId="1C6138D0" w14:textId="16562466" w:rsidR="00606828" w:rsidRDefault="00606828" w:rsidP="00927429">
      <w:pPr>
        <w:tabs>
          <w:tab w:val="left" w:pos="2880"/>
        </w:tabs>
        <w:ind w:left="1440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</w:p>
    <w:sectPr w:rsidR="00606828">
      <w:headerReference w:type="default" r:id="rId7"/>
      <w:pgSz w:w="11906" w:h="16838"/>
      <w:pgMar w:top="1644" w:right="1134" w:bottom="1134" w:left="1134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6DCF5" w14:textId="77777777" w:rsidR="004D7641" w:rsidRDefault="004D7641">
      <w:r>
        <w:separator/>
      </w:r>
    </w:p>
  </w:endnote>
  <w:endnote w:type="continuationSeparator" w:id="0">
    <w:p w14:paraId="5E730648" w14:textId="77777777" w:rsidR="004D7641" w:rsidRDefault="004D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76D5" w14:textId="77777777" w:rsidR="004D7641" w:rsidRDefault="004D7641">
      <w:r>
        <w:separator/>
      </w:r>
    </w:p>
  </w:footnote>
  <w:footnote w:type="continuationSeparator" w:id="0">
    <w:p w14:paraId="3AEC3F92" w14:textId="77777777" w:rsidR="004D7641" w:rsidRDefault="004D7641">
      <w:r>
        <w:continuationSeparator/>
      </w:r>
    </w:p>
  </w:footnote>
  <w:footnote w:id="1">
    <w:p w14:paraId="13EB56C4" w14:textId="77777777" w:rsidR="008861BD" w:rsidRDefault="008861BD" w:rsidP="008861BD">
      <w:pPr>
        <w:pStyle w:val="FootnoteText"/>
        <w:jc w:val="both"/>
      </w:pPr>
      <w:r>
        <w:rPr>
          <w:rStyle w:val="Caracteresdenotaderodap"/>
        </w:rPr>
        <w:footnoteRef/>
      </w:r>
      <w:r>
        <w:tab/>
        <w:t xml:space="preserve">Disponível em: </w:t>
      </w:r>
      <w:hyperlink r:id="rId1" w:history="1">
        <w:r w:rsidRPr="005D12A6">
          <w:rPr>
            <w:rStyle w:val="Hyperlink"/>
          </w:rPr>
          <w:t>https://repositorio.ufsc.br/bitstream/handle/123456789/76073/95329.pdf?sequence=1&amp;isAllowed=y</w:t>
        </w:r>
      </w:hyperlink>
      <w:r>
        <w:t>. Acesso em: 12/09/2023.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E060" w14:textId="77777777" w:rsidR="00606828" w:rsidRDefault="006068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ourier New" w:eastAsia="Courier New" w:hAnsi="Courier New" w:cs="Courier New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725FB"/>
    <w:multiLevelType w:val="multilevel"/>
    <w:tmpl w:val="769E15C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num w:numId="1" w16cid:durableId="3731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28"/>
    <w:rsid w:val="00050295"/>
    <w:rsid w:val="000507BE"/>
    <w:rsid w:val="00064CD5"/>
    <w:rsid w:val="0008046F"/>
    <w:rsid w:val="000D374B"/>
    <w:rsid w:val="000E264E"/>
    <w:rsid w:val="00186E85"/>
    <w:rsid w:val="001D10F6"/>
    <w:rsid w:val="00221638"/>
    <w:rsid w:val="002C78D4"/>
    <w:rsid w:val="003742E4"/>
    <w:rsid w:val="00413635"/>
    <w:rsid w:val="00426F45"/>
    <w:rsid w:val="004C64CA"/>
    <w:rsid w:val="004D7641"/>
    <w:rsid w:val="004E3525"/>
    <w:rsid w:val="004E3739"/>
    <w:rsid w:val="005130CA"/>
    <w:rsid w:val="00526878"/>
    <w:rsid w:val="005527AB"/>
    <w:rsid w:val="005A59F9"/>
    <w:rsid w:val="00606828"/>
    <w:rsid w:val="006532B4"/>
    <w:rsid w:val="00654B83"/>
    <w:rsid w:val="006E4561"/>
    <w:rsid w:val="006E499E"/>
    <w:rsid w:val="0083706C"/>
    <w:rsid w:val="008861BD"/>
    <w:rsid w:val="008A0DB4"/>
    <w:rsid w:val="008D06D9"/>
    <w:rsid w:val="00922ED9"/>
    <w:rsid w:val="00927429"/>
    <w:rsid w:val="009C0370"/>
    <w:rsid w:val="00A109E7"/>
    <w:rsid w:val="00AE4717"/>
    <w:rsid w:val="00B55DEA"/>
    <w:rsid w:val="00BB1BCD"/>
    <w:rsid w:val="00C973E9"/>
    <w:rsid w:val="00CD2104"/>
    <w:rsid w:val="00D42756"/>
    <w:rsid w:val="00EA1A6A"/>
    <w:rsid w:val="00F112FF"/>
    <w:rsid w:val="00FA0236"/>
    <w:rsid w:val="00F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811C"/>
  <w15:docId w15:val="{E6AF4B71-B369-4922-A2E4-0FB4B67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character" w:customStyle="1" w:styleId="Caracteresdenotaderodap">
    <w:name w:val="Caracteres de nota de rodapé"/>
    <w:qFormat/>
    <w:rsid w:val="008861BD"/>
  </w:style>
  <w:style w:type="character" w:customStyle="1" w:styleId="ncoradanotaderodap">
    <w:name w:val="Âncora da nota de rodapé"/>
    <w:rsid w:val="008861BD"/>
    <w:rPr>
      <w:vertAlign w:val="superscript"/>
    </w:rPr>
  </w:style>
  <w:style w:type="paragraph" w:styleId="FootnoteText">
    <w:name w:val="footnote text"/>
    <w:basedOn w:val="Normal"/>
    <w:link w:val="FootnoteTextChar"/>
    <w:rsid w:val="008861BD"/>
    <w:pPr>
      <w:widowControl/>
      <w:suppressLineNumbers/>
      <w:suppressAutoHyphens/>
      <w:spacing w:after="160" w:line="259" w:lineRule="auto"/>
      <w:ind w:left="340" w:hanging="3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8861B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861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fsc.br/bitstream/handle/123456789/76073/95329.pdf?sequence=1&amp;isAllowed=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1666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Pontoglio</dc:creator>
  <cp:lastModifiedBy>Ricardo Pontoglio</cp:lastModifiedBy>
  <cp:revision>25</cp:revision>
  <cp:lastPrinted>2023-09-12T15:57:00Z</cp:lastPrinted>
  <dcterms:created xsi:type="dcterms:W3CDTF">2026-05-04T22:59:00Z</dcterms:created>
  <dcterms:modified xsi:type="dcterms:W3CDTF">2026-07-03T20:11:00Z</dcterms:modified>
</cp:coreProperties>
</file>